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885305" w:rsidRDefault="00B52D22">
      <w:pPr>
        <w:pStyle w:val="4"/>
      </w:pPr>
      <w:r w:rsidRPr="00885305">
        <w:t>АДМИНИСТРАЦИЯ  МУНИЦИПАЛЬНОГО  ОБРАЗОВАНИЯ</w:t>
      </w:r>
    </w:p>
    <w:p w:rsidR="00B52D22" w:rsidRPr="00885305" w:rsidRDefault="00B52D22">
      <w:pPr>
        <w:jc w:val="center"/>
        <w:rPr>
          <w:b/>
          <w:sz w:val="22"/>
        </w:rPr>
      </w:pPr>
      <w:r w:rsidRPr="00885305">
        <w:rPr>
          <w:b/>
          <w:sz w:val="22"/>
        </w:rPr>
        <w:t xml:space="preserve">ТИХВИНСКИЙ  МУНИЦИПАЛЬНЫЙ  РАЙОН </w:t>
      </w:r>
    </w:p>
    <w:p w:rsidR="00B52D22" w:rsidRPr="00885305" w:rsidRDefault="00B52D22">
      <w:pPr>
        <w:jc w:val="center"/>
        <w:rPr>
          <w:b/>
          <w:sz w:val="22"/>
        </w:rPr>
      </w:pPr>
      <w:r w:rsidRPr="00885305">
        <w:rPr>
          <w:b/>
          <w:sz w:val="22"/>
        </w:rPr>
        <w:t>ЛЕНИНГРАДСКОЙ  ОБЛАСТИ</w:t>
      </w:r>
    </w:p>
    <w:p w:rsidR="00B52D22" w:rsidRPr="00885305" w:rsidRDefault="00B52D22">
      <w:pPr>
        <w:jc w:val="center"/>
        <w:rPr>
          <w:b/>
          <w:sz w:val="22"/>
        </w:rPr>
      </w:pPr>
      <w:r w:rsidRPr="00885305">
        <w:rPr>
          <w:b/>
          <w:sz w:val="22"/>
        </w:rPr>
        <w:t>(АДМИНИСТРАЦИЯ  ТИХВИНСКОГО  РАЙОНА)</w:t>
      </w:r>
    </w:p>
    <w:p w:rsidR="00B52D22" w:rsidRPr="00885305" w:rsidRDefault="00B52D22">
      <w:pPr>
        <w:jc w:val="center"/>
        <w:rPr>
          <w:b/>
          <w:sz w:val="32"/>
        </w:rPr>
      </w:pPr>
    </w:p>
    <w:p w:rsidR="00B52D22" w:rsidRPr="00885305" w:rsidRDefault="00B52D22">
      <w:pPr>
        <w:jc w:val="center"/>
        <w:rPr>
          <w:sz w:val="10"/>
        </w:rPr>
      </w:pPr>
      <w:r w:rsidRPr="00885305">
        <w:rPr>
          <w:b/>
          <w:sz w:val="32"/>
        </w:rPr>
        <w:t>ПОСТАНОВЛЕНИЕ</w:t>
      </w:r>
    </w:p>
    <w:p w:rsidR="00B52D22" w:rsidRPr="00885305" w:rsidRDefault="00B52D22">
      <w:pPr>
        <w:jc w:val="center"/>
        <w:rPr>
          <w:sz w:val="10"/>
        </w:rPr>
      </w:pPr>
    </w:p>
    <w:p w:rsidR="00B52D22" w:rsidRPr="00885305" w:rsidRDefault="00B52D22">
      <w:pPr>
        <w:jc w:val="center"/>
        <w:rPr>
          <w:sz w:val="10"/>
        </w:rPr>
      </w:pPr>
    </w:p>
    <w:p w:rsidR="00B52D22" w:rsidRPr="00885305" w:rsidRDefault="00B52D22">
      <w:pPr>
        <w:tabs>
          <w:tab w:val="left" w:pos="4962"/>
        </w:tabs>
        <w:rPr>
          <w:sz w:val="16"/>
        </w:rPr>
      </w:pPr>
    </w:p>
    <w:p w:rsidR="00B52D22" w:rsidRPr="00885305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885305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885305" w:rsidRDefault="00885305">
      <w:pPr>
        <w:tabs>
          <w:tab w:val="left" w:pos="567"/>
          <w:tab w:val="left" w:pos="3686"/>
        </w:tabs>
      </w:pPr>
      <w:r w:rsidRPr="00885305">
        <w:t xml:space="preserve">            15 декабря 2023 г.       01-3232-а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6712F" w:rsidTr="0006712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6712F" w:rsidRDefault="00AD5CBD" w:rsidP="0006712F">
            <w:pPr>
              <w:rPr>
                <w:sz w:val="24"/>
                <w:szCs w:val="24"/>
              </w:rPr>
            </w:pPr>
            <w:r w:rsidRPr="0006712F">
              <w:rPr>
                <w:sz w:val="24"/>
                <w:szCs w:val="24"/>
              </w:rPr>
              <w:t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утвержденный постановлением администрации Тихвинского района от 4 сентября 2023 года № 01-2245-а</w:t>
            </w:r>
          </w:p>
        </w:tc>
      </w:tr>
    </w:tbl>
    <w:p w:rsidR="00554BEC" w:rsidRPr="00885305" w:rsidRDefault="00AD5CBD" w:rsidP="00AD5CBD">
      <w:pPr>
        <w:ind w:right="-1"/>
        <w:rPr>
          <w:sz w:val="22"/>
          <w:szCs w:val="22"/>
        </w:rPr>
      </w:pPr>
      <w:r w:rsidRPr="00885305">
        <w:rPr>
          <w:sz w:val="22"/>
          <w:szCs w:val="22"/>
        </w:rPr>
        <w:t>21, 1500, ДО, НПА</w:t>
      </w:r>
    </w:p>
    <w:p w:rsidR="00AD5CBD" w:rsidRDefault="00AD5CBD" w:rsidP="00AD5CBD">
      <w:pPr>
        <w:ind w:right="-1"/>
        <w:rPr>
          <w:szCs w:val="22"/>
        </w:rPr>
      </w:pPr>
    </w:p>
    <w:p w:rsidR="00AD5CBD" w:rsidRPr="00AD5CBD" w:rsidRDefault="00AD5CBD" w:rsidP="0006712F">
      <w:pPr>
        <w:ind w:right="-1" w:firstLine="709"/>
        <w:rPr>
          <w:szCs w:val="22"/>
        </w:rPr>
      </w:pPr>
      <w:r w:rsidRPr="00AD5CBD">
        <w:rPr>
          <w:szCs w:val="22"/>
        </w:rPr>
        <w:t>В соответствии с Федеральным законом от 27 июля 2010 года № 210-ФЗ «Об организации предоставления государственных и муниципальных услуг»; р</w:t>
      </w:r>
      <w:bookmarkStart w:id="0" w:name="_GoBack"/>
      <w:bookmarkEnd w:id="0"/>
      <w:r w:rsidRPr="00AD5CBD">
        <w:rPr>
          <w:szCs w:val="22"/>
        </w:rPr>
        <w:t>аспоряжением Правительства</w:t>
      </w:r>
      <w:r w:rsidR="0006712F">
        <w:rPr>
          <w:szCs w:val="22"/>
        </w:rPr>
        <w:t xml:space="preserve"> Ленинградской области от 28 декабря </w:t>
      </w:r>
      <w:r w:rsidRPr="00AD5CBD">
        <w:rPr>
          <w:szCs w:val="22"/>
        </w:rPr>
        <w:t xml:space="preserve">2015 </w:t>
      </w:r>
      <w:r w:rsidR="0006712F">
        <w:rPr>
          <w:szCs w:val="22"/>
        </w:rPr>
        <w:t xml:space="preserve">года </w:t>
      </w:r>
      <w:r w:rsidRPr="00AD5CBD">
        <w:rPr>
          <w:szCs w:val="22"/>
        </w:rPr>
        <w:t>№ 585-р 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услуг», постановлением администрации Тихвинского района от 22 марта 2012 года №01-600-а «Об утверждении Порядка разработки и утверждения административных регламентов предоставления муниципальных услуг»; руководствуясь статьей 30 Устава муниципального образования Тихвинский муниципальный район Ленинградской области, протоколом заседания комиссии по повышению качества и доступности предоставления</w:t>
      </w:r>
      <w:r w:rsidR="0006712F">
        <w:rPr>
          <w:szCs w:val="22"/>
        </w:rPr>
        <w:t xml:space="preserve"> </w:t>
      </w:r>
      <w:r w:rsidRPr="00AD5CBD">
        <w:rPr>
          <w:szCs w:val="22"/>
        </w:rPr>
        <w:t>государственных и муниципальных услуг в Ленинградской области от 15 сентября 2023 года, администрация Тихвинского района ПОСТАНОВЛЯЕТ:</w:t>
      </w:r>
    </w:p>
    <w:p w:rsidR="00AD5CBD" w:rsidRPr="00AD5CBD" w:rsidRDefault="00AD5CBD" w:rsidP="00AD5CBD">
      <w:pPr>
        <w:ind w:right="-1" w:firstLine="709"/>
        <w:rPr>
          <w:szCs w:val="22"/>
        </w:rPr>
      </w:pPr>
      <w:r w:rsidRPr="00AD5CBD">
        <w:rPr>
          <w:szCs w:val="22"/>
        </w:rPr>
        <w:t xml:space="preserve">1. Внести в административный регламент администрации муниципального образования Тихвинский муниципальный район Ленинградской области по оказанию муниципальной услуги </w:t>
      </w:r>
      <w:r w:rsidRPr="00AD5CBD">
        <w:rPr>
          <w:szCs w:val="22"/>
        </w:rPr>
        <w:lastRenderedPageBreak/>
        <w:t xml:space="preserve">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утвержденный постановлением администрации Тихвинского района от </w:t>
      </w:r>
      <w:r w:rsidRPr="0006712F">
        <w:rPr>
          <w:b/>
          <w:szCs w:val="22"/>
        </w:rPr>
        <w:t>4 сентября 2023 года №01-2245-а</w:t>
      </w:r>
      <w:r w:rsidRPr="00AD5CBD">
        <w:rPr>
          <w:szCs w:val="22"/>
        </w:rPr>
        <w:t>, следующие изменения:</w:t>
      </w:r>
    </w:p>
    <w:p w:rsidR="00AD5CBD" w:rsidRPr="00AD5CBD" w:rsidRDefault="00AD5CBD" w:rsidP="00AD5CBD">
      <w:pPr>
        <w:ind w:right="-1" w:firstLine="709"/>
        <w:rPr>
          <w:szCs w:val="22"/>
        </w:rPr>
      </w:pPr>
      <w:r w:rsidRPr="00AD5CBD">
        <w:rPr>
          <w:szCs w:val="22"/>
        </w:rPr>
        <w:t>1.1.</w:t>
      </w:r>
      <w:r w:rsidRPr="00AD5CBD">
        <w:rPr>
          <w:szCs w:val="22"/>
        </w:rPr>
        <w:tab/>
        <w:t xml:space="preserve">в разделе 2 «Стандарт предоставления муниципальной услуги» подпункт 2.2.1 изложить в следующей редакции: </w:t>
      </w:r>
    </w:p>
    <w:p w:rsidR="00AD5CBD" w:rsidRPr="00AD5CBD" w:rsidRDefault="00AD5CBD" w:rsidP="00AD5CBD">
      <w:pPr>
        <w:ind w:right="-1" w:firstLine="709"/>
        <w:rPr>
          <w:szCs w:val="22"/>
        </w:rPr>
      </w:pPr>
      <w:r w:rsidRPr="00AD5CBD">
        <w:rPr>
          <w:szCs w:val="22"/>
        </w:rPr>
        <w:t>«2.2.1.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возможности).»;</w:t>
      </w:r>
    </w:p>
    <w:p w:rsidR="00AD5CBD" w:rsidRPr="00AD5CBD" w:rsidRDefault="00AD5CBD" w:rsidP="00AD5CBD">
      <w:pPr>
        <w:ind w:right="-1" w:firstLine="709"/>
        <w:rPr>
          <w:szCs w:val="22"/>
        </w:rPr>
      </w:pPr>
      <w:r w:rsidRPr="00AD5CBD">
        <w:rPr>
          <w:szCs w:val="22"/>
        </w:rPr>
        <w:t xml:space="preserve">1.2. в разделе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подпункт 3.1.3.2 изложить в следующей редакции: </w:t>
      </w:r>
    </w:p>
    <w:p w:rsidR="00AD5CBD" w:rsidRPr="00AD5CBD" w:rsidRDefault="00AD5CBD" w:rsidP="00AD5CBD">
      <w:pPr>
        <w:ind w:right="-1" w:firstLine="709"/>
        <w:rPr>
          <w:szCs w:val="22"/>
        </w:rPr>
      </w:pPr>
      <w:r w:rsidRPr="00AD5CBD">
        <w:rPr>
          <w:szCs w:val="22"/>
        </w:rPr>
        <w:t>«3.1.3.2.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AD5CBD" w:rsidRPr="00AD5CBD" w:rsidRDefault="00AD5CBD" w:rsidP="00AD5CBD">
      <w:pPr>
        <w:ind w:right="-1" w:firstLine="709"/>
        <w:rPr>
          <w:szCs w:val="22"/>
        </w:rPr>
      </w:pPr>
      <w:r w:rsidRPr="00AD5CBD">
        <w:rPr>
          <w:szCs w:val="22"/>
        </w:rPr>
        <w:t>1 действие: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2 дней со дня окончания первой административной процедуры.</w:t>
      </w:r>
    </w:p>
    <w:p w:rsidR="00AD5CBD" w:rsidRPr="00AD5CBD" w:rsidRDefault="00AD5CBD" w:rsidP="00AD5CBD">
      <w:pPr>
        <w:ind w:right="-1" w:firstLine="709"/>
        <w:rPr>
          <w:szCs w:val="22"/>
        </w:rPr>
      </w:pPr>
      <w:r w:rsidRPr="00AD5CBD">
        <w:rPr>
          <w:szCs w:val="22"/>
        </w:rPr>
        <w:t>2 действие: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запросы.</w:t>
      </w:r>
    </w:p>
    <w:p w:rsidR="00AD5CBD" w:rsidRPr="00AD5CBD" w:rsidRDefault="00AD5CBD" w:rsidP="00AD5CBD">
      <w:pPr>
        <w:ind w:right="-1" w:firstLine="709"/>
        <w:rPr>
          <w:szCs w:val="22"/>
        </w:rPr>
      </w:pPr>
      <w:r w:rsidRPr="00AD5CBD">
        <w:rPr>
          <w:szCs w:val="22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часов.».</w:t>
      </w:r>
    </w:p>
    <w:p w:rsidR="00AD5CBD" w:rsidRPr="00AD5CBD" w:rsidRDefault="00AD5CBD" w:rsidP="00AD5CBD">
      <w:pPr>
        <w:ind w:right="-1" w:firstLine="709"/>
        <w:rPr>
          <w:szCs w:val="22"/>
        </w:rPr>
      </w:pPr>
      <w:r w:rsidRPr="00AD5CBD">
        <w:rPr>
          <w:szCs w:val="22"/>
        </w:rPr>
        <w:lastRenderedPageBreak/>
        <w:t>2. Опубликовать настоящее постановл</w:t>
      </w:r>
      <w:r w:rsidR="0006712F">
        <w:rPr>
          <w:szCs w:val="22"/>
        </w:rPr>
        <w:t xml:space="preserve">ение в газете «Трудовая слава» и </w:t>
      </w:r>
      <w:r w:rsidRPr="00AD5CBD">
        <w:rPr>
          <w:szCs w:val="22"/>
        </w:rPr>
        <w:t>обнародовать путём размещения в сети Интернет на официальном сайте Тихвинского района (https://tikhvin.org).</w:t>
      </w:r>
    </w:p>
    <w:p w:rsidR="00AD5CBD" w:rsidRPr="00AD5CBD" w:rsidRDefault="00AD5CBD" w:rsidP="00AD5CBD">
      <w:pPr>
        <w:ind w:right="-1" w:firstLine="709"/>
        <w:rPr>
          <w:szCs w:val="22"/>
        </w:rPr>
      </w:pPr>
      <w:r w:rsidRPr="00AD5CBD">
        <w:rPr>
          <w:szCs w:val="22"/>
        </w:rPr>
        <w:t xml:space="preserve">Разместить </w:t>
      </w:r>
      <w:r w:rsidR="0006712F">
        <w:rPr>
          <w:szCs w:val="22"/>
        </w:rPr>
        <w:t xml:space="preserve">изменения, внесенные в </w:t>
      </w:r>
      <w:r w:rsidRPr="00AD5CBD">
        <w:rPr>
          <w:szCs w:val="22"/>
        </w:rPr>
        <w:t>административный регламент</w:t>
      </w:r>
      <w:r w:rsidR="0006712F">
        <w:rPr>
          <w:szCs w:val="22"/>
        </w:rPr>
        <w:t>,</w:t>
      </w:r>
      <w:r w:rsidRPr="00AD5CBD">
        <w:rPr>
          <w:szCs w:val="22"/>
        </w:rPr>
        <w:t xml:space="preserve">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Тихвинское городское поселение, город Тихвин, 1 микрорайон, дом 2.</w:t>
      </w:r>
    </w:p>
    <w:p w:rsidR="00AD5CBD" w:rsidRDefault="00AD5CBD" w:rsidP="00AD5CBD">
      <w:pPr>
        <w:ind w:right="-1" w:firstLine="709"/>
        <w:rPr>
          <w:szCs w:val="22"/>
        </w:rPr>
      </w:pPr>
      <w:r w:rsidRPr="00AD5CBD">
        <w:rPr>
          <w:szCs w:val="22"/>
        </w:rPr>
        <w:t>3. Контроль за исполнением настоящего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AD5CBD" w:rsidRDefault="00AD5CBD" w:rsidP="00AD5CBD">
      <w:pPr>
        <w:ind w:right="-1"/>
        <w:rPr>
          <w:szCs w:val="22"/>
        </w:rPr>
      </w:pPr>
    </w:p>
    <w:p w:rsidR="00AD5CBD" w:rsidRDefault="00AD5CBD" w:rsidP="00AD5CBD">
      <w:pPr>
        <w:ind w:right="-1"/>
        <w:rPr>
          <w:szCs w:val="22"/>
        </w:rPr>
      </w:pPr>
    </w:p>
    <w:p w:rsidR="00AD5CBD" w:rsidRDefault="00AD5CBD" w:rsidP="00AD5CBD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AD5CBD" w:rsidRDefault="00AD5CBD" w:rsidP="00AD5CBD">
      <w:pPr>
        <w:ind w:right="-1"/>
        <w:rPr>
          <w:szCs w:val="22"/>
        </w:rPr>
      </w:pPr>
    </w:p>
    <w:p w:rsidR="00AD5CBD" w:rsidRDefault="00AD5CBD" w:rsidP="00AD5CBD">
      <w:pPr>
        <w:ind w:right="-1"/>
        <w:rPr>
          <w:szCs w:val="22"/>
        </w:rPr>
      </w:pPr>
    </w:p>
    <w:p w:rsidR="009B490D" w:rsidRDefault="009B490D" w:rsidP="00AD5CBD">
      <w:pPr>
        <w:ind w:right="-1"/>
        <w:rPr>
          <w:sz w:val="24"/>
          <w:szCs w:val="22"/>
        </w:rPr>
      </w:pPr>
    </w:p>
    <w:p w:rsidR="009B490D" w:rsidRDefault="009B490D" w:rsidP="00AD5CBD">
      <w:pPr>
        <w:ind w:right="-1"/>
        <w:rPr>
          <w:sz w:val="24"/>
          <w:szCs w:val="22"/>
        </w:rPr>
      </w:pPr>
    </w:p>
    <w:p w:rsidR="009B490D" w:rsidRDefault="009B490D" w:rsidP="00AD5CBD">
      <w:pPr>
        <w:ind w:right="-1"/>
        <w:rPr>
          <w:sz w:val="24"/>
          <w:szCs w:val="22"/>
        </w:rPr>
      </w:pPr>
    </w:p>
    <w:p w:rsidR="009B490D" w:rsidRDefault="009B490D" w:rsidP="00AD5CBD">
      <w:pPr>
        <w:ind w:right="-1"/>
        <w:rPr>
          <w:sz w:val="24"/>
          <w:szCs w:val="22"/>
        </w:rPr>
      </w:pPr>
    </w:p>
    <w:p w:rsidR="009B490D" w:rsidRDefault="009B490D" w:rsidP="00AD5CBD">
      <w:pPr>
        <w:ind w:right="-1"/>
        <w:rPr>
          <w:sz w:val="24"/>
          <w:szCs w:val="22"/>
        </w:rPr>
      </w:pPr>
    </w:p>
    <w:p w:rsidR="009B490D" w:rsidRDefault="009B490D" w:rsidP="00AD5CBD">
      <w:pPr>
        <w:ind w:right="-1"/>
        <w:rPr>
          <w:sz w:val="24"/>
          <w:szCs w:val="22"/>
        </w:rPr>
      </w:pPr>
    </w:p>
    <w:p w:rsidR="009B490D" w:rsidRDefault="009B490D" w:rsidP="00AD5CBD">
      <w:pPr>
        <w:ind w:right="-1"/>
        <w:rPr>
          <w:sz w:val="24"/>
          <w:szCs w:val="22"/>
        </w:rPr>
      </w:pPr>
    </w:p>
    <w:p w:rsidR="009B490D" w:rsidRDefault="009B490D" w:rsidP="00AD5CBD">
      <w:pPr>
        <w:ind w:right="-1"/>
        <w:rPr>
          <w:sz w:val="24"/>
          <w:szCs w:val="22"/>
        </w:rPr>
      </w:pPr>
    </w:p>
    <w:p w:rsidR="009B490D" w:rsidRDefault="009B490D" w:rsidP="00AD5CBD">
      <w:pPr>
        <w:ind w:right="-1"/>
        <w:rPr>
          <w:sz w:val="24"/>
          <w:szCs w:val="22"/>
        </w:rPr>
      </w:pPr>
    </w:p>
    <w:p w:rsidR="009B490D" w:rsidRDefault="009B490D" w:rsidP="00AD5CBD">
      <w:pPr>
        <w:ind w:right="-1"/>
        <w:rPr>
          <w:sz w:val="24"/>
          <w:szCs w:val="22"/>
        </w:rPr>
      </w:pPr>
    </w:p>
    <w:p w:rsidR="009B490D" w:rsidRDefault="009B490D" w:rsidP="00AD5CBD">
      <w:pPr>
        <w:ind w:right="-1"/>
        <w:rPr>
          <w:sz w:val="24"/>
          <w:szCs w:val="22"/>
        </w:rPr>
      </w:pPr>
    </w:p>
    <w:p w:rsidR="009B490D" w:rsidRDefault="009B490D" w:rsidP="00AD5CBD">
      <w:pPr>
        <w:ind w:right="-1"/>
        <w:rPr>
          <w:sz w:val="24"/>
          <w:szCs w:val="22"/>
        </w:rPr>
      </w:pPr>
    </w:p>
    <w:p w:rsidR="009B490D" w:rsidRDefault="009B490D" w:rsidP="00AD5CBD">
      <w:pPr>
        <w:ind w:right="-1"/>
        <w:rPr>
          <w:sz w:val="24"/>
          <w:szCs w:val="22"/>
        </w:rPr>
      </w:pPr>
    </w:p>
    <w:p w:rsidR="009B490D" w:rsidRDefault="009B490D" w:rsidP="00AD5CBD">
      <w:pPr>
        <w:ind w:right="-1"/>
        <w:rPr>
          <w:sz w:val="24"/>
          <w:szCs w:val="22"/>
        </w:rPr>
      </w:pPr>
    </w:p>
    <w:p w:rsidR="009B490D" w:rsidRDefault="009B490D" w:rsidP="00AD5CBD">
      <w:pPr>
        <w:ind w:right="-1"/>
        <w:rPr>
          <w:sz w:val="24"/>
          <w:szCs w:val="22"/>
        </w:rPr>
      </w:pPr>
    </w:p>
    <w:p w:rsidR="009B490D" w:rsidRDefault="009B490D" w:rsidP="00AD5CBD">
      <w:pPr>
        <w:ind w:right="-1"/>
        <w:rPr>
          <w:sz w:val="24"/>
          <w:szCs w:val="22"/>
        </w:rPr>
      </w:pPr>
    </w:p>
    <w:p w:rsidR="009B490D" w:rsidRDefault="009B490D" w:rsidP="00AD5CBD">
      <w:pPr>
        <w:ind w:right="-1"/>
        <w:rPr>
          <w:sz w:val="24"/>
          <w:szCs w:val="22"/>
        </w:rPr>
      </w:pPr>
    </w:p>
    <w:p w:rsidR="009B490D" w:rsidRDefault="009B490D" w:rsidP="00AD5CBD">
      <w:pPr>
        <w:ind w:right="-1"/>
        <w:rPr>
          <w:sz w:val="24"/>
          <w:szCs w:val="22"/>
        </w:rPr>
      </w:pPr>
    </w:p>
    <w:p w:rsidR="009B490D" w:rsidRDefault="009B490D" w:rsidP="00AD5CBD">
      <w:pPr>
        <w:ind w:right="-1"/>
        <w:rPr>
          <w:sz w:val="24"/>
          <w:szCs w:val="22"/>
        </w:rPr>
      </w:pPr>
    </w:p>
    <w:p w:rsidR="009B490D" w:rsidRDefault="009B490D" w:rsidP="00AD5CBD">
      <w:pPr>
        <w:ind w:right="-1"/>
        <w:rPr>
          <w:sz w:val="24"/>
          <w:szCs w:val="22"/>
        </w:rPr>
      </w:pPr>
    </w:p>
    <w:p w:rsidR="009B490D" w:rsidRDefault="009B490D" w:rsidP="00AD5CBD">
      <w:pPr>
        <w:ind w:right="-1"/>
        <w:rPr>
          <w:sz w:val="24"/>
          <w:szCs w:val="22"/>
        </w:rPr>
      </w:pPr>
    </w:p>
    <w:p w:rsidR="009B490D" w:rsidRDefault="009B490D" w:rsidP="00AD5CBD">
      <w:pPr>
        <w:ind w:right="-1"/>
        <w:rPr>
          <w:sz w:val="24"/>
          <w:szCs w:val="22"/>
        </w:rPr>
      </w:pPr>
    </w:p>
    <w:p w:rsidR="009B490D" w:rsidRDefault="009B490D" w:rsidP="00AD5CBD">
      <w:pPr>
        <w:ind w:right="-1"/>
        <w:rPr>
          <w:sz w:val="24"/>
          <w:szCs w:val="22"/>
        </w:rPr>
      </w:pPr>
    </w:p>
    <w:p w:rsidR="009B490D" w:rsidRDefault="009B490D" w:rsidP="00AD5CBD">
      <w:pPr>
        <w:ind w:right="-1"/>
        <w:rPr>
          <w:sz w:val="24"/>
          <w:szCs w:val="22"/>
        </w:rPr>
      </w:pPr>
    </w:p>
    <w:p w:rsidR="009B490D" w:rsidRDefault="009B490D" w:rsidP="00AD5CBD">
      <w:pPr>
        <w:ind w:right="-1"/>
        <w:rPr>
          <w:sz w:val="24"/>
          <w:szCs w:val="22"/>
        </w:rPr>
      </w:pPr>
    </w:p>
    <w:p w:rsidR="009B490D" w:rsidRDefault="009B490D" w:rsidP="00AD5CBD">
      <w:pPr>
        <w:ind w:right="-1"/>
        <w:rPr>
          <w:sz w:val="24"/>
          <w:szCs w:val="22"/>
        </w:rPr>
      </w:pPr>
    </w:p>
    <w:p w:rsidR="009B490D" w:rsidRDefault="009B490D" w:rsidP="00AD5CBD">
      <w:pPr>
        <w:ind w:right="-1"/>
        <w:rPr>
          <w:sz w:val="24"/>
          <w:szCs w:val="22"/>
        </w:rPr>
      </w:pPr>
    </w:p>
    <w:p w:rsidR="0006712F" w:rsidRDefault="0006712F" w:rsidP="00AD5CBD">
      <w:pPr>
        <w:ind w:right="-1"/>
        <w:rPr>
          <w:sz w:val="24"/>
          <w:szCs w:val="22"/>
        </w:rPr>
      </w:pPr>
    </w:p>
    <w:p w:rsidR="0006712F" w:rsidRDefault="0006712F" w:rsidP="00AD5CBD">
      <w:pPr>
        <w:ind w:right="-1"/>
        <w:rPr>
          <w:sz w:val="24"/>
          <w:szCs w:val="22"/>
        </w:rPr>
      </w:pPr>
    </w:p>
    <w:p w:rsidR="0006712F" w:rsidRDefault="0006712F" w:rsidP="00AD5CBD">
      <w:pPr>
        <w:ind w:right="-1"/>
        <w:rPr>
          <w:sz w:val="24"/>
          <w:szCs w:val="22"/>
        </w:rPr>
      </w:pPr>
    </w:p>
    <w:p w:rsidR="009B490D" w:rsidRDefault="009B490D" w:rsidP="00AD5CBD">
      <w:pPr>
        <w:ind w:right="-1"/>
        <w:rPr>
          <w:sz w:val="24"/>
          <w:szCs w:val="22"/>
        </w:rPr>
      </w:pPr>
    </w:p>
    <w:p w:rsidR="00AD5CBD" w:rsidRPr="009B490D" w:rsidRDefault="00AD5CBD" w:rsidP="00AD5CBD">
      <w:pPr>
        <w:ind w:right="-1"/>
        <w:rPr>
          <w:sz w:val="24"/>
          <w:szCs w:val="22"/>
        </w:rPr>
      </w:pPr>
      <w:r w:rsidRPr="009B490D">
        <w:rPr>
          <w:sz w:val="24"/>
          <w:szCs w:val="22"/>
        </w:rPr>
        <w:t>Чалова Ирина Юрьевна,</w:t>
      </w:r>
    </w:p>
    <w:p w:rsidR="00AD5CBD" w:rsidRDefault="009B490D" w:rsidP="00AD5CBD">
      <w:pPr>
        <w:ind w:right="-1"/>
        <w:rPr>
          <w:szCs w:val="22"/>
        </w:rPr>
      </w:pPr>
      <w:r w:rsidRPr="009B490D">
        <w:rPr>
          <w:sz w:val="24"/>
          <w:szCs w:val="22"/>
        </w:rPr>
        <w:t>75-200</w:t>
      </w:r>
    </w:p>
    <w:p w:rsidR="00AD5CBD" w:rsidRDefault="00AD5CBD" w:rsidP="00AD5CBD">
      <w:pPr>
        <w:ind w:right="-1"/>
        <w:rPr>
          <w:szCs w:val="22"/>
        </w:rPr>
      </w:pPr>
    </w:p>
    <w:p w:rsidR="009B490D" w:rsidRDefault="009B490D" w:rsidP="009B490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9B490D" w:rsidTr="00421A20">
        <w:trPr>
          <w:trHeight w:val="168"/>
        </w:trPr>
        <w:tc>
          <w:tcPr>
            <w:tcW w:w="3779" w:type="pct"/>
          </w:tcPr>
          <w:p w:rsidR="009B490D" w:rsidRPr="00CB72DF" w:rsidRDefault="009B490D" w:rsidP="00421A20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9B490D" w:rsidRPr="00CB72DF" w:rsidRDefault="009B490D" w:rsidP="00421A20">
            <w:pPr>
              <w:ind w:right="-1"/>
              <w:rPr>
                <w:sz w:val="22"/>
                <w:szCs w:val="22"/>
              </w:rPr>
            </w:pPr>
          </w:p>
          <w:p w:rsidR="009B490D" w:rsidRPr="00CB72DF" w:rsidRDefault="009B490D" w:rsidP="00421A20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9B490D" w:rsidTr="00421A20">
        <w:trPr>
          <w:trHeight w:val="67"/>
        </w:trPr>
        <w:tc>
          <w:tcPr>
            <w:tcW w:w="3779" w:type="pct"/>
          </w:tcPr>
          <w:p w:rsidR="009B490D" w:rsidRPr="00CB72DF" w:rsidRDefault="009B490D" w:rsidP="00421A20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</w:t>
            </w:r>
            <w:r>
              <w:rPr>
                <w:iCs/>
                <w:sz w:val="22"/>
                <w:szCs w:val="22"/>
              </w:rPr>
              <w:t xml:space="preserve">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  <w:r>
              <w:rPr>
                <w:iCs/>
                <w:sz w:val="22"/>
                <w:szCs w:val="22"/>
              </w:rPr>
              <w:t xml:space="preserve"> 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9B490D" w:rsidRDefault="009B490D" w:rsidP="00421A20">
            <w:pPr>
              <w:ind w:right="-1"/>
              <w:rPr>
                <w:sz w:val="22"/>
                <w:szCs w:val="22"/>
              </w:rPr>
            </w:pPr>
          </w:p>
          <w:p w:rsidR="009B490D" w:rsidRDefault="009B490D" w:rsidP="00421A20">
            <w:pPr>
              <w:ind w:right="-1"/>
              <w:rPr>
                <w:sz w:val="22"/>
                <w:szCs w:val="22"/>
              </w:rPr>
            </w:pPr>
          </w:p>
          <w:p w:rsidR="009B490D" w:rsidRDefault="009B490D" w:rsidP="00421A20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Ю.П.</w:t>
            </w:r>
          </w:p>
        </w:tc>
      </w:tr>
      <w:tr w:rsidR="009B490D" w:rsidTr="00421A20">
        <w:trPr>
          <w:trHeight w:val="67"/>
        </w:trPr>
        <w:tc>
          <w:tcPr>
            <w:tcW w:w="3779" w:type="pct"/>
          </w:tcPr>
          <w:p w:rsidR="009B490D" w:rsidRDefault="009B490D" w:rsidP="00421A20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>отделом</w:t>
            </w:r>
            <w:r>
              <w:rPr>
                <w:iCs/>
                <w:sz w:val="22"/>
                <w:szCs w:val="22"/>
              </w:rPr>
              <w:t xml:space="preserve"> информационного обеспечения</w:t>
            </w:r>
          </w:p>
        </w:tc>
        <w:tc>
          <w:tcPr>
            <w:tcW w:w="1221" w:type="pct"/>
          </w:tcPr>
          <w:p w:rsidR="009B490D" w:rsidRDefault="009B490D" w:rsidP="00421A20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Е.Ю.</w:t>
            </w:r>
          </w:p>
        </w:tc>
      </w:tr>
      <w:tr w:rsidR="009B490D" w:rsidTr="00421A20">
        <w:trPr>
          <w:trHeight w:val="135"/>
        </w:trPr>
        <w:tc>
          <w:tcPr>
            <w:tcW w:w="3779" w:type="pct"/>
          </w:tcPr>
          <w:p w:rsidR="009B490D" w:rsidRPr="00CB72DF" w:rsidRDefault="009B490D" w:rsidP="00421A2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9B490D" w:rsidRPr="00CB72DF" w:rsidRDefault="009B490D" w:rsidP="00421A2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9B490D" w:rsidTr="00421A20">
        <w:trPr>
          <w:trHeight w:val="135"/>
        </w:trPr>
        <w:tc>
          <w:tcPr>
            <w:tcW w:w="3779" w:type="pct"/>
          </w:tcPr>
          <w:p w:rsidR="009B490D" w:rsidRPr="00CB72DF" w:rsidRDefault="009B490D" w:rsidP="00421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9B490D" w:rsidRPr="00CB72DF" w:rsidRDefault="009B490D" w:rsidP="00421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9B490D" w:rsidRDefault="009B490D" w:rsidP="009B490D">
      <w:pPr>
        <w:spacing w:line="360" w:lineRule="auto"/>
        <w:rPr>
          <w:b/>
          <w:sz w:val="24"/>
          <w:szCs w:val="24"/>
        </w:rPr>
      </w:pPr>
    </w:p>
    <w:p w:rsidR="009B490D" w:rsidRDefault="009B490D" w:rsidP="009B490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9B490D" w:rsidTr="00421A20">
        <w:tc>
          <w:tcPr>
            <w:tcW w:w="3607" w:type="pct"/>
            <w:hideMark/>
          </w:tcPr>
          <w:p w:rsidR="009B490D" w:rsidRPr="00CB72DF" w:rsidRDefault="009B490D" w:rsidP="00421A2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9B490D" w:rsidRPr="00CB72DF" w:rsidRDefault="009B490D" w:rsidP="00421A2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9B490D" w:rsidRPr="00CB72DF" w:rsidRDefault="009B490D" w:rsidP="00421A20">
            <w:pPr>
              <w:rPr>
                <w:sz w:val="22"/>
                <w:szCs w:val="22"/>
              </w:rPr>
            </w:pPr>
          </w:p>
        </w:tc>
      </w:tr>
      <w:tr w:rsidR="009B490D" w:rsidTr="00421A20">
        <w:tc>
          <w:tcPr>
            <w:tcW w:w="3607" w:type="pct"/>
          </w:tcPr>
          <w:p w:rsidR="009B490D" w:rsidRDefault="009B490D" w:rsidP="00421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9B490D" w:rsidRDefault="009B490D" w:rsidP="00421A20">
            <w:pPr>
              <w:rPr>
                <w:sz w:val="22"/>
                <w:szCs w:val="22"/>
              </w:rPr>
            </w:pPr>
          </w:p>
          <w:p w:rsidR="009B490D" w:rsidRPr="00CB72DF" w:rsidRDefault="009B490D" w:rsidP="00421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:rsidR="009B490D" w:rsidRDefault="009B490D" w:rsidP="00421A20">
            <w:pPr>
              <w:rPr>
                <w:sz w:val="22"/>
                <w:szCs w:val="22"/>
              </w:rPr>
            </w:pPr>
          </w:p>
        </w:tc>
      </w:tr>
      <w:tr w:rsidR="009B490D" w:rsidTr="00421A20">
        <w:tc>
          <w:tcPr>
            <w:tcW w:w="3607" w:type="pct"/>
          </w:tcPr>
          <w:p w:rsidR="009B490D" w:rsidRDefault="009B490D" w:rsidP="009B490D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информационного обеспечения</w:t>
            </w:r>
          </w:p>
        </w:tc>
        <w:tc>
          <w:tcPr>
            <w:tcW w:w="233" w:type="pct"/>
          </w:tcPr>
          <w:p w:rsidR="009B490D" w:rsidRDefault="009B490D" w:rsidP="00421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9B490D" w:rsidRDefault="009B490D" w:rsidP="00421A20">
            <w:pPr>
              <w:rPr>
                <w:sz w:val="22"/>
                <w:szCs w:val="22"/>
              </w:rPr>
            </w:pPr>
          </w:p>
        </w:tc>
      </w:tr>
      <w:tr w:rsidR="009B490D" w:rsidTr="00421A20">
        <w:tc>
          <w:tcPr>
            <w:tcW w:w="3607" w:type="pct"/>
          </w:tcPr>
          <w:p w:rsidR="009B490D" w:rsidRDefault="009B490D" w:rsidP="009B4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3" w:type="pct"/>
          </w:tcPr>
          <w:p w:rsidR="009B490D" w:rsidRPr="00CB72DF" w:rsidRDefault="009B490D" w:rsidP="009B4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9B490D" w:rsidRDefault="009B490D" w:rsidP="009B490D">
            <w:pPr>
              <w:rPr>
                <w:sz w:val="22"/>
                <w:szCs w:val="22"/>
              </w:rPr>
            </w:pPr>
          </w:p>
        </w:tc>
      </w:tr>
      <w:tr w:rsidR="009B490D" w:rsidTr="00421A20">
        <w:tc>
          <w:tcPr>
            <w:tcW w:w="3607" w:type="pct"/>
          </w:tcPr>
          <w:p w:rsidR="009B490D" w:rsidRDefault="009B490D" w:rsidP="009B4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</w:p>
        </w:tc>
        <w:tc>
          <w:tcPr>
            <w:tcW w:w="233" w:type="pct"/>
          </w:tcPr>
          <w:p w:rsidR="009B490D" w:rsidRDefault="009B490D" w:rsidP="009B4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9B490D" w:rsidRDefault="009B490D" w:rsidP="009B490D">
            <w:pPr>
              <w:rPr>
                <w:sz w:val="22"/>
                <w:szCs w:val="22"/>
              </w:rPr>
            </w:pPr>
          </w:p>
        </w:tc>
      </w:tr>
      <w:tr w:rsidR="009B490D" w:rsidTr="00421A20">
        <w:tc>
          <w:tcPr>
            <w:tcW w:w="3607" w:type="pct"/>
          </w:tcPr>
          <w:p w:rsidR="009B490D" w:rsidRDefault="009B490D" w:rsidP="009B4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ГБУ ЛО «МФЦ» «Тихвинский»</w:t>
            </w:r>
          </w:p>
        </w:tc>
        <w:tc>
          <w:tcPr>
            <w:tcW w:w="233" w:type="pct"/>
          </w:tcPr>
          <w:p w:rsidR="009B490D" w:rsidRDefault="009B490D" w:rsidP="009B4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9B490D" w:rsidRDefault="009B490D" w:rsidP="009B490D">
            <w:pPr>
              <w:rPr>
                <w:sz w:val="22"/>
                <w:szCs w:val="22"/>
              </w:rPr>
            </w:pPr>
          </w:p>
        </w:tc>
      </w:tr>
    </w:tbl>
    <w:p w:rsidR="009B490D" w:rsidRDefault="009B490D" w:rsidP="009B490D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9B490D" w:rsidTr="00421A20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490D" w:rsidRDefault="009B490D" w:rsidP="00421A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490D" w:rsidRDefault="009B490D" w:rsidP="00421A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90D" w:rsidRDefault="009B490D" w:rsidP="00421A20">
            <w:pPr>
              <w:rPr>
                <w:b/>
                <w:sz w:val="24"/>
                <w:szCs w:val="24"/>
              </w:rPr>
            </w:pPr>
          </w:p>
        </w:tc>
      </w:tr>
    </w:tbl>
    <w:p w:rsidR="009B490D" w:rsidRPr="003A65A7" w:rsidRDefault="009B490D" w:rsidP="009B490D"/>
    <w:p w:rsidR="009B490D" w:rsidRDefault="009B490D" w:rsidP="009B490D"/>
    <w:p w:rsidR="009B490D" w:rsidRPr="00AD5CBD" w:rsidRDefault="009B490D" w:rsidP="00AD5CBD">
      <w:pPr>
        <w:ind w:right="-1"/>
        <w:rPr>
          <w:szCs w:val="22"/>
        </w:rPr>
      </w:pPr>
    </w:p>
    <w:sectPr w:rsidR="009B490D" w:rsidRPr="00AD5CBD" w:rsidSect="0006712F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6A8" w:rsidRDefault="00A046A8" w:rsidP="0006712F">
      <w:r>
        <w:separator/>
      </w:r>
    </w:p>
  </w:endnote>
  <w:endnote w:type="continuationSeparator" w:id="0">
    <w:p w:rsidR="00A046A8" w:rsidRDefault="00A046A8" w:rsidP="0006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6A8" w:rsidRDefault="00A046A8" w:rsidP="0006712F">
      <w:r>
        <w:separator/>
      </w:r>
    </w:p>
  </w:footnote>
  <w:footnote w:type="continuationSeparator" w:id="0">
    <w:p w:rsidR="00A046A8" w:rsidRDefault="00A046A8" w:rsidP="00067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12F" w:rsidRDefault="0006712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85305">
      <w:rPr>
        <w:noProof/>
      </w:rPr>
      <w:t>2</w:t>
    </w:r>
    <w:r>
      <w:fldChar w:fldCharType="end"/>
    </w:r>
  </w:p>
  <w:p w:rsidR="0006712F" w:rsidRDefault="0006712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6712F"/>
    <w:rsid w:val="000B23F7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D079F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85305"/>
    <w:rsid w:val="008A3858"/>
    <w:rsid w:val="009840BA"/>
    <w:rsid w:val="009B490D"/>
    <w:rsid w:val="00A03876"/>
    <w:rsid w:val="00A046A8"/>
    <w:rsid w:val="00A13C7B"/>
    <w:rsid w:val="00AD5CBD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CD030"/>
  <w15:chartTrackingRefBased/>
  <w15:docId w15:val="{67995891-32DB-4CDC-A294-0C07B04C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0671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6712F"/>
    <w:rPr>
      <w:sz w:val="28"/>
    </w:rPr>
  </w:style>
  <w:style w:type="paragraph" w:styleId="ab">
    <w:name w:val="footer"/>
    <w:basedOn w:val="a"/>
    <w:link w:val="ac"/>
    <w:rsid w:val="000671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6712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2023-12-15T09:41:00Z</cp:lastPrinted>
  <dcterms:created xsi:type="dcterms:W3CDTF">2023-12-08T12:27:00Z</dcterms:created>
  <dcterms:modified xsi:type="dcterms:W3CDTF">2023-12-15T09:41:00Z</dcterms:modified>
</cp:coreProperties>
</file>