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27831">
      <w:pPr>
        <w:tabs>
          <w:tab w:val="left" w:pos="567"/>
          <w:tab w:val="left" w:pos="3686"/>
        </w:tabs>
      </w:pPr>
      <w:r>
        <w:tab/>
        <w:t>17 февраля 2021 г.</w:t>
      </w:r>
      <w:r>
        <w:tab/>
        <w:t>01-288-а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D5236" w:rsidTr="008D52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5236" w:rsidRDefault="00191EDE" w:rsidP="00191EDE">
            <w:pPr>
              <w:rPr>
                <w:b/>
                <w:sz w:val="24"/>
                <w:szCs w:val="24"/>
              </w:rPr>
            </w:pPr>
            <w:r w:rsidRPr="008D5236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района «Развитие физической культуры и спорта в Тихвинском районе» </w:t>
            </w:r>
          </w:p>
        </w:tc>
      </w:tr>
      <w:tr w:rsidR="00191EDE" w:rsidRPr="00BB758A" w:rsidTr="008D52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EDE" w:rsidRPr="00BB758A" w:rsidRDefault="00191EDE" w:rsidP="00B52D22">
            <w:pPr>
              <w:rPr>
                <w:sz w:val="24"/>
                <w:szCs w:val="24"/>
              </w:rPr>
            </w:pPr>
            <w:r w:rsidRPr="00BB758A">
              <w:rPr>
                <w:sz w:val="24"/>
                <w:szCs w:val="24"/>
              </w:rPr>
              <w:t>21, 1400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91EDE" w:rsidRP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191EDE">
        <w:rPr>
          <w:color w:val="000000"/>
          <w:szCs w:val="24"/>
        </w:rPr>
        <w:t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района: от 12 января 2021 года № 01-7-а «Об ут</w:t>
      </w:r>
      <w:bookmarkStart w:id="0" w:name="_GoBack"/>
      <w:bookmarkEnd w:id="0"/>
      <w:r w:rsidRPr="00191EDE">
        <w:rPr>
          <w:color w:val="000000"/>
          <w:szCs w:val="24"/>
        </w:rPr>
        <w:t xml:space="preserve">верждении Порядка разработки, реализации и оценки эффективности муниципальных программ Тихвинского района и Тихвинского городского поселения» и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 ПОСТАНОВЛЯЕТ: </w:t>
      </w:r>
    </w:p>
    <w:p w:rsidR="00191EDE" w:rsidRPr="00191EDE" w:rsidRDefault="00191EDE" w:rsidP="00191EDE">
      <w:pPr>
        <w:pStyle w:val="af0"/>
        <w:ind w:left="0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191EDE">
        <w:rPr>
          <w:color w:val="000000"/>
          <w:szCs w:val="24"/>
        </w:rPr>
        <w:t>Утвердить муниципальную программу Тихвинского района «Развитие физической культуры и спорта в Тихвинском районе» (</w:t>
      </w:r>
      <w:r>
        <w:rPr>
          <w:color w:val="000000"/>
          <w:szCs w:val="24"/>
        </w:rPr>
        <w:t>п</w:t>
      </w:r>
      <w:r w:rsidRPr="00191EDE">
        <w:rPr>
          <w:color w:val="000000"/>
          <w:szCs w:val="24"/>
        </w:rPr>
        <w:t>риложение).</w:t>
      </w:r>
    </w:p>
    <w:p w:rsidR="00191EDE" w:rsidRPr="00191EDE" w:rsidRDefault="00191EDE" w:rsidP="00191EDE">
      <w:pPr>
        <w:pStyle w:val="af0"/>
        <w:ind w:left="0" w:firstLine="709"/>
        <w:rPr>
          <w:rFonts w:eastAsia="Calibri"/>
          <w:color w:val="000000"/>
          <w:szCs w:val="24"/>
          <w:lang w:eastAsia="en-US"/>
        </w:rPr>
      </w:pPr>
      <w:r>
        <w:rPr>
          <w:color w:val="000000"/>
          <w:szCs w:val="24"/>
        </w:rPr>
        <w:t xml:space="preserve">2. </w:t>
      </w:r>
      <w:r w:rsidRPr="00191EDE">
        <w:rPr>
          <w:color w:val="000000"/>
          <w:szCs w:val="24"/>
        </w:rPr>
        <w:t xml:space="preserve">Признать утратившим силу постановление </w:t>
      </w:r>
      <w:r w:rsidRPr="00191EDE">
        <w:rPr>
          <w:rFonts w:eastAsia="Calibri"/>
          <w:color w:val="000000"/>
          <w:szCs w:val="24"/>
          <w:lang w:eastAsia="en-US"/>
        </w:rPr>
        <w:t xml:space="preserve">администрации Тихвинского района </w:t>
      </w:r>
      <w:r w:rsidRPr="00191EDE">
        <w:rPr>
          <w:rFonts w:eastAsia="Calibri"/>
          <w:b/>
          <w:color w:val="000000"/>
          <w:szCs w:val="24"/>
          <w:lang w:eastAsia="en-US"/>
        </w:rPr>
        <w:t>от 19 октября 2020 года №01-2034-а</w:t>
      </w:r>
      <w:r w:rsidRPr="00191EDE">
        <w:rPr>
          <w:rFonts w:eastAsia="Calibri"/>
          <w:color w:val="000000"/>
          <w:szCs w:val="24"/>
          <w:lang w:eastAsia="en-US"/>
        </w:rPr>
        <w:t xml:space="preserve"> «Об утверждении муниципальной программы Тихвинского района «Развитие физической культуры и спорта в Тихвинском районе»</w:t>
      </w:r>
      <w:r>
        <w:rPr>
          <w:rFonts w:eastAsia="Calibri"/>
          <w:color w:val="000000"/>
          <w:szCs w:val="24"/>
          <w:lang w:eastAsia="en-US"/>
        </w:rPr>
        <w:t>.</w:t>
      </w:r>
      <w:r w:rsidRPr="00191EDE">
        <w:rPr>
          <w:rFonts w:eastAsia="Calibri"/>
          <w:color w:val="000000"/>
          <w:szCs w:val="24"/>
          <w:lang w:eastAsia="en-US"/>
        </w:rPr>
        <w:t xml:space="preserve"> </w:t>
      </w:r>
    </w:p>
    <w:p w:rsidR="00191EDE" w:rsidRDefault="00191EDE" w:rsidP="00191EDE">
      <w:pPr>
        <w:ind w:firstLine="709"/>
        <w:rPr>
          <w:rFonts w:eastAsia="Calibri"/>
          <w:color w:val="000000"/>
          <w:szCs w:val="26"/>
          <w:lang w:eastAsia="en-US"/>
        </w:rPr>
      </w:pPr>
      <w:r>
        <w:rPr>
          <w:color w:val="000000"/>
          <w:szCs w:val="24"/>
        </w:rPr>
        <w:t xml:space="preserve">3. </w:t>
      </w:r>
      <w:r w:rsidRPr="00191EDE">
        <w:rPr>
          <w:color w:val="000000"/>
          <w:szCs w:val="24"/>
        </w:rPr>
        <w:t>Обнародовать настоящее постановление в сети Интернет на офици</w:t>
      </w:r>
      <w:r w:rsidR="008D5236">
        <w:rPr>
          <w:color w:val="000000"/>
          <w:szCs w:val="24"/>
        </w:rPr>
        <w:t>альном сайте Тихвинского района</w:t>
      </w:r>
      <w:r w:rsidRPr="00191EDE">
        <w:rPr>
          <w:rFonts w:eastAsia="Calibri"/>
          <w:color w:val="000000"/>
          <w:szCs w:val="26"/>
          <w:lang w:eastAsia="en-US"/>
        </w:rPr>
        <w:t xml:space="preserve"> </w:t>
      </w:r>
      <w:r>
        <w:rPr>
          <w:rFonts w:eastAsia="Calibri"/>
          <w:color w:val="000000"/>
          <w:szCs w:val="26"/>
          <w:lang w:eastAsia="en-US"/>
        </w:rPr>
        <w:t xml:space="preserve">(https://tikhvin.org/). </w:t>
      </w:r>
    </w:p>
    <w:p w:rsidR="00191EDE" w:rsidRPr="00191EDE" w:rsidRDefault="008D5236" w:rsidP="00191EDE">
      <w:pPr>
        <w:pStyle w:val="af0"/>
        <w:ind w:left="0" w:right="-1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="00191EDE" w:rsidRPr="00191EDE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91EDE" w:rsidRPr="00191EDE" w:rsidRDefault="008D5236" w:rsidP="008D5236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="00191EDE" w:rsidRPr="00191EDE">
        <w:rPr>
          <w:color w:val="000000"/>
          <w:szCs w:val="24"/>
        </w:rPr>
        <w:t>Действие постановления распространяется на правоотношения, возникшие с 1 января 2021 года.</w:t>
      </w:r>
    </w:p>
    <w:p w:rsidR="00191EDE" w:rsidRPr="00191EDE" w:rsidRDefault="00191EDE" w:rsidP="00191EDE">
      <w:pPr>
        <w:ind w:right="-1"/>
        <w:rPr>
          <w:color w:val="000000"/>
          <w:szCs w:val="24"/>
        </w:rPr>
      </w:pPr>
    </w:p>
    <w:p w:rsidR="00191EDE" w:rsidRPr="00191EDE" w:rsidRDefault="00191EDE" w:rsidP="00191EDE">
      <w:pPr>
        <w:ind w:right="-1"/>
        <w:jc w:val="left"/>
        <w:rPr>
          <w:color w:val="000000"/>
          <w:szCs w:val="24"/>
        </w:rPr>
      </w:pPr>
    </w:p>
    <w:p w:rsidR="00191EDE" w:rsidRPr="006F3F8C" w:rsidRDefault="00191EDE" w:rsidP="00191ED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91EDE" w:rsidRDefault="00191EDE" w:rsidP="00191EDE">
      <w:pPr>
        <w:ind w:right="-1"/>
        <w:jc w:val="left"/>
        <w:rPr>
          <w:color w:val="000000"/>
          <w:sz w:val="24"/>
          <w:szCs w:val="24"/>
        </w:rPr>
      </w:pPr>
    </w:p>
    <w:p w:rsidR="00191EDE" w:rsidRDefault="00191EDE" w:rsidP="00191EDE">
      <w:pPr>
        <w:ind w:right="-1"/>
        <w:jc w:val="left"/>
        <w:rPr>
          <w:color w:val="000000"/>
          <w:sz w:val="24"/>
          <w:szCs w:val="24"/>
        </w:rPr>
      </w:pPr>
    </w:p>
    <w:p w:rsidR="00191EDE" w:rsidRDefault="00191EDE" w:rsidP="00191EDE">
      <w:pPr>
        <w:ind w:right="-1"/>
        <w:rPr>
          <w:color w:val="000000"/>
          <w:sz w:val="16"/>
          <w:szCs w:val="16"/>
        </w:rPr>
      </w:pPr>
    </w:p>
    <w:p w:rsidR="00191EDE" w:rsidRDefault="00191EDE" w:rsidP="00191EDE">
      <w:pPr>
        <w:ind w:right="-1"/>
        <w:rPr>
          <w:color w:val="000000"/>
          <w:sz w:val="16"/>
          <w:szCs w:val="16"/>
        </w:rPr>
      </w:pPr>
    </w:p>
    <w:p w:rsidR="00191EDE" w:rsidRPr="00191EDE" w:rsidRDefault="00191EDE" w:rsidP="00191EDE">
      <w:pPr>
        <w:ind w:right="-1"/>
        <w:rPr>
          <w:color w:val="000000"/>
          <w:sz w:val="24"/>
          <w:szCs w:val="16"/>
        </w:rPr>
      </w:pPr>
      <w:r w:rsidRPr="00191EDE">
        <w:rPr>
          <w:color w:val="000000"/>
          <w:sz w:val="24"/>
          <w:szCs w:val="16"/>
        </w:rPr>
        <w:t>Почтарева Людмила Александровна,</w:t>
      </w:r>
    </w:p>
    <w:p w:rsidR="00191EDE" w:rsidRPr="00191EDE" w:rsidRDefault="00191EDE" w:rsidP="00191EDE">
      <w:pPr>
        <w:ind w:right="-1"/>
        <w:rPr>
          <w:color w:val="000000"/>
          <w:sz w:val="24"/>
          <w:szCs w:val="16"/>
        </w:rPr>
      </w:pPr>
      <w:r w:rsidRPr="00191EDE">
        <w:rPr>
          <w:color w:val="000000"/>
          <w:sz w:val="24"/>
          <w:szCs w:val="16"/>
        </w:rPr>
        <w:t>77-881</w:t>
      </w:r>
    </w:p>
    <w:p w:rsidR="00191EDE" w:rsidRDefault="00191EDE" w:rsidP="00191EDE">
      <w:pPr>
        <w:spacing w:after="160" w:line="256" w:lineRule="auto"/>
        <w:ind w:firstLine="225"/>
        <w:rPr>
          <w:rFonts w:eastAsia="Calibri"/>
          <w:color w:val="000000"/>
          <w:sz w:val="20"/>
          <w:lang w:eastAsia="en-US"/>
        </w:rPr>
      </w:pPr>
    </w:p>
    <w:p w:rsidR="00191EDE" w:rsidRPr="00191EDE" w:rsidRDefault="00191EDE" w:rsidP="00191EDE">
      <w:pPr>
        <w:spacing w:after="160" w:line="256" w:lineRule="auto"/>
        <w:ind w:firstLine="225"/>
        <w:rPr>
          <w:rFonts w:eastAsia="Calibri"/>
          <w:color w:val="000000"/>
          <w:sz w:val="18"/>
          <w:szCs w:val="18"/>
          <w:lang w:eastAsia="en-US"/>
        </w:rPr>
      </w:pPr>
      <w:r w:rsidRPr="00191EDE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191EDE">
        <w:rPr>
          <w:rFonts w:eastAsia="Calibri"/>
          <w:color w:val="000000"/>
          <w:sz w:val="18"/>
          <w:szCs w:val="18"/>
          <w:lang w:eastAsia="en-US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4"/>
        <w:gridCol w:w="425"/>
        <w:gridCol w:w="1906"/>
      </w:tblGrid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по социальным и общим вопросам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Гребешкова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И.В.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С.А.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П.А.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Председатель комитета по культуре, спорту и молодежной политике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Котова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Е.Ю.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191EDE" w:rsidRPr="00191EDE" w:rsidRDefault="00191EDE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В.В.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И.Г.</w:t>
            </w:r>
          </w:p>
        </w:tc>
      </w:tr>
      <w:tr w:rsidR="00191EDE" w:rsidRPr="00191EDE" w:rsidTr="00191EDE">
        <w:tc>
          <w:tcPr>
            <w:tcW w:w="6204" w:type="dxa"/>
            <w:hideMark/>
          </w:tcPr>
          <w:p w:rsidR="00191EDE" w:rsidRPr="00191EDE" w:rsidRDefault="00191EDE">
            <w:pPr>
              <w:spacing w:after="160" w:line="25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Директор МБУ ДО «ДЮСШ «Богатырь»</w:t>
            </w:r>
          </w:p>
        </w:tc>
        <w:tc>
          <w:tcPr>
            <w:tcW w:w="425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hideMark/>
          </w:tcPr>
          <w:p w:rsidR="00191EDE" w:rsidRPr="00191EDE" w:rsidRDefault="00191EDE">
            <w:pPr>
              <w:spacing w:after="160" w:line="256" w:lineRule="auto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Назарова Е.А.</w:t>
            </w:r>
          </w:p>
        </w:tc>
      </w:tr>
    </w:tbl>
    <w:p w:rsidR="00191EDE" w:rsidRPr="00191EDE" w:rsidRDefault="00191EDE" w:rsidP="00191EDE">
      <w:pPr>
        <w:spacing w:after="160" w:line="256" w:lineRule="auto"/>
        <w:rPr>
          <w:rFonts w:eastAsia="Calibri"/>
          <w:color w:val="000000"/>
          <w:sz w:val="18"/>
          <w:szCs w:val="18"/>
          <w:lang w:eastAsia="en-US"/>
        </w:rPr>
      </w:pPr>
    </w:p>
    <w:p w:rsidR="00191EDE" w:rsidRPr="00191EDE" w:rsidRDefault="00191EDE" w:rsidP="00191EDE">
      <w:pPr>
        <w:spacing w:after="160" w:line="256" w:lineRule="auto"/>
        <w:rPr>
          <w:rFonts w:eastAsia="Calibri"/>
          <w:color w:val="000000"/>
          <w:sz w:val="18"/>
          <w:szCs w:val="18"/>
          <w:lang w:eastAsia="en-US"/>
        </w:rPr>
      </w:pPr>
      <w:r w:rsidRPr="00191EDE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191EDE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390"/>
        <w:gridCol w:w="30"/>
        <w:gridCol w:w="1830"/>
      </w:tblGrid>
      <w:tr w:rsidR="00191EDE" w:rsidRPr="00191EDE" w:rsidTr="00191EDE">
        <w:tc>
          <w:tcPr>
            <w:tcW w:w="705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0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91EDE" w:rsidRPr="00191EDE" w:rsidTr="00191EDE">
        <w:tc>
          <w:tcPr>
            <w:tcW w:w="705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0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91EDE" w:rsidRPr="00191EDE" w:rsidTr="00191EDE">
        <w:tc>
          <w:tcPr>
            <w:tcW w:w="705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0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91EDE" w:rsidRPr="00191EDE" w:rsidTr="00191EDE">
        <w:tc>
          <w:tcPr>
            <w:tcW w:w="705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культуре, спорту и молодежной политике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30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91EDE" w:rsidRPr="00191EDE" w:rsidTr="00191EDE">
        <w:tc>
          <w:tcPr>
            <w:tcW w:w="7050" w:type="dxa"/>
            <w:gridSpan w:val="2"/>
            <w:hideMark/>
          </w:tcPr>
          <w:p w:rsidR="00191EDE" w:rsidRPr="00191EDE" w:rsidRDefault="00191EDE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191EDE">
              <w:rPr>
                <w:i/>
                <w:color w:val="000000"/>
                <w:sz w:val="18"/>
                <w:szCs w:val="18"/>
              </w:rPr>
              <w:t xml:space="preserve">Муниципальное бюджетное учреждение дополнительного </w:t>
            </w:r>
          </w:p>
          <w:p w:rsidR="00191EDE" w:rsidRPr="00191EDE" w:rsidRDefault="00191EDE" w:rsidP="008D5236">
            <w:pPr>
              <w:spacing w:after="160" w:line="256" w:lineRule="auto"/>
              <w:jc w:val="left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i/>
                <w:color w:val="000000"/>
                <w:sz w:val="18"/>
                <w:szCs w:val="18"/>
              </w:rPr>
              <w:t>образования «Детско-юношеская спортивная школа «Богатырь</w:t>
            </w:r>
          </w:p>
        </w:tc>
        <w:tc>
          <w:tcPr>
            <w:tcW w:w="420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0" w:type="dxa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91EDE" w:rsidRPr="00191EDE" w:rsidTr="00191EDE">
        <w:tc>
          <w:tcPr>
            <w:tcW w:w="7035" w:type="dxa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ИТОГО:</w:t>
            </w:r>
            <w:r w:rsidRPr="00191ED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5" w:type="dxa"/>
            <w:gridSpan w:val="2"/>
            <w:hideMark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91EDE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0" w:type="dxa"/>
            <w:gridSpan w:val="2"/>
          </w:tcPr>
          <w:p w:rsidR="00191EDE" w:rsidRPr="00191EDE" w:rsidRDefault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ind w:left="4962"/>
        <w:jc w:val="left"/>
        <w:rPr>
          <w:sz w:val="24"/>
          <w:szCs w:val="24"/>
        </w:rPr>
      </w:pPr>
    </w:p>
    <w:p w:rsidR="00191EDE" w:rsidRDefault="00191EDE" w:rsidP="00191EDE">
      <w:pPr>
        <w:ind w:left="4962"/>
        <w:jc w:val="left"/>
        <w:rPr>
          <w:sz w:val="24"/>
          <w:szCs w:val="24"/>
        </w:rPr>
      </w:pPr>
    </w:p>
    <w:p w:rsidR="00191EDE" w:rsidRDefault="00191EDE" w:rsidP="00191EDE">
      <w:pPr>
        <w:ind w:left="4962"/>
        <w:jc w:val="left"/>
        <w:rPr>
          <w:sz w:val="24"/>
          <w:szCs w:val="24"/>
        </w:rPr>
        <w:sectPr w:rsidR="00191EDE" w:rsidSect="008D5236">
          <w:headerReference w:type="default" r:id="rId7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191EDE" w:rsidRPr="00C27831" w:rsidRDefault="00191EDE" w:rsidP="00191ED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C2783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91EDE" w:rsidRPr="00C27831" w:rsidRDefault="00191EDE" w:rsidP="00191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2783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1EDE" w:rsidRPr="00C27831" w:rsidRDefault="00191EDE" w:rsidP="00191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2783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91EDE" w:rsidRPr="00C27831" w:rsidRDefault="00191EDE" w:rsidP="00191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27831">
        <w:rPr>
          <w:rFonts w:ascii="Times New Roman" w:hAnsi="Times New Roman" w:cs="Times New Roman"/>
          <w:sz w:val="24"/>
          <w:szCs w:val="24"/>
        </w:rPr>
        <w:t xml:space="preserve">от </w:t>
      </w:r>
      <w:r w:rsidR="00C27831">
        <w:rPr>
          <w:rFonts w:ascii="Times New Roman" w:hAnsi="Times New Roman" w:cs="Times New Roman"/>
          <w:sz w:val="24"/>
          <w:szCs w:val="24"/>
        </w:rPr>
        <w:t xml:space="preserve">17 </w:t>
      </w:r>
      <w:r w:rsidRPr="00C27831">
        <w:rPr>
          <w:rFonts w:ascii="Times New Roman" w:hAnsi="Times New Roman" w:cs="Times New Roman"/>
          <w:sz w:val="24"/>
          <w:szCs w:val="24"/>
        </w:rPr>
        <w:t>февраля 2021г. №01-</w:t>
      </w:r>
      <w:r w:rsidR="00C27831">
        <w:rPr>
          <w:rFonts w:ascii="Times New Roman" w:hAnsi="Times New Roman" w:cs="Times New Roman"/>
          <w:sz w:val="24"/>
          <w:szCs w:val="24"/>
        </w:rPr>
        <w:t>288</w:t>
      </w:r>
      <w:r w:rsidRPr="00C27831">
        <w:rPr>
          <w:rFonts w:ascii="Times New Roman" w:hAnsi="Times New Roman" w:cs="Times New Roman"/>
          <w:sz w:val="24"/>
          <w:szCs w:val="24"/>
        </w:rPr>
        <w:t>-а</w:t>
      </w:r>
    </w:p>
    <w:p w:rsidR="00191EDE" w:rsidRPr="00C27831" w:rsidRDefault="00191EDE" w:rsidP="00191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2783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91EDE" w:rsidRPr="00C27831" w:rsidRDefault="00191EDE" w:rsidP="00191EDE">
      <w:pPr>
        <w:ind w:left="4962"/>
        <w:jc w:val="left"/>
        <w:rPr>
          <w:sz w:val="24"/>
          <w:szCs w:val="24"/>
        </w:rPr>
      </w:pPr>
    </w:p>
    <w:p w:rsidR="00191EDE" w:rsidRPr="00C27831" w:rsidRDefault="00191EDE" w:rsidP="00191EDE">
      <w:pPr>
        <w:ind w:left="4962" w:right="-1"/>
        <w:jc w:val="left"/>
        <w:rPr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Муниципальная программа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Тихвинского района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  <w:r>
        <w:rPr>
          <w:color w:val="000000"/>
          <w:sz w:val="24"/>
          <w:szCs w:val="24"/>
        </w:rPr>
        <w:t xml:space="preserve"> 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ПАСПОРТ 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0"/>
        <w:gridCol w:w="6519"/>
      </w:tblGrid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физической культуры и спорта в Тихвинском районе» (далее - Муниципальная программа)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исполнитель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 (далее – Комитет КСМ)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«Богатырь» (далее МБУ ДО «ДЮСШ «Богатырь»)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требуются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района физической культуры и массового спорта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-организация подготовки спортивного резерва;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приобщение различных категорий граждан к занятиям физической культурой и спортом;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популяризация массовых видов спорта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доля населения, занимающегося физической культурой и спортом, в общей численности населения Тихвинского района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реализуется в один этап (2021-2023 годы)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бюджетных ассигнований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бюджетных ассигнований на реализацию программы за период с 2021 по 2023 годы составляет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25739,9 тыс. руб., из них:</w:t>
            </w:r>
          </w:p>
          <w:p w:rsidR="00191EDE" w:rsidRDefault="00191E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из средств бюджета Ленинградской области – 8441,6 тыс.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руб. </w:t>
            </w:r>
          </w:p>
          <w:p w:rsidR="00191EDE" w:rsidRDefault="00191E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из средств бюджета </w:t>
            </w:r>
            <w:r>
              <w:rPr>
                <w:sz w:val="24"/>
                <w:szCs w:val="24"/>
              </w:rPr>
              <w:t>Тихвинского района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– 17298,3 тыс. руб.</w:t>
            </w:r>
          </w:p>
          <w:p w:rsidR="00191EDE" w:rsidRDefault="00191E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8747,7 тыс. руб.,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 них: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Ленинградской области –2981,6 тыс. руб.;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</w:t>
            </w:r>
            <w:r>
              <w:rPr>
                <w:sz w:val="24"/>
                <w:szCs w:val="24"/>
              </w:rPr>
              <w:t>Тихвинского района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5766,1 тыс. руб.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8496,1 тыс. руб.,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 них: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Ленинградской области – 2730,0 тыс. руб.;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</w:t>
            </w:r>
            <w:r>
              <w:rPr>
                <w:sz w:val="24"/>
                <w:szCs w:val="24"/>
              </w:rPr>
              <w:t>Тихвинского района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5766,1 тыс. руб.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год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8496,1 тыс. руб., из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них: </w:t>
            </w:r>
          </w:p>
          <w:p w:rsidR="00191EDE" w:rsidRDefault="00191ED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Ленинградской области – 2730,0 тыс. руб.;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из средств бюджета </w:t>
            </w:r>
            <w:r>
              <w:rPr>
                <w:sz w:val="24"/>
                <w:szCs w:val="24"/>
              </w:rPr>
              <w:t>Тихвинского района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5766,1 тыс. руб. </w:t>
            </w:r>
          </w:p>
        </w:tc>
      </w:tr>
      <w:tr w:rsidR="00191EDE" w:rsidTr="008D5236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увеличение доли населения Тихвинского района, занимающегося физической культурой и спортом, в общей численности населения от 3 до 79 лет до </w:t>
            </w:r>
            <w:r>
              <w:rPr>
                <w:b/>
                <w:color w:val="000000"/>
                <w:sz w:val="24"/>
                <w:szCs w:val="24"/>
              </w:rPr>
              <w:t>33,5%</w:t>
            </w:r>
            <w:r>
              <w:rPr>
                <w:color w:val="000000"/>
                <w:sz w:val="24"/>
                <w:szCs w:val="24"/>
              </w:rPr>
              <w:t xml:space="preserve"> в 2023 году;</w:t>
            </w:r>
          </w:p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обеспечение количества занимающихся на этапах спортивной подготовки в соответствии с Федеральными стандартами спортивной подготовки 259 чел.  в 2021 -  2023 годах.</w:t>
            </w:r>
          </w:p>
        </w:tc>
      </w:tr>
    </w:tbl>
    <w:p w:rsidR="00191EDE" w:rsidRDefault="00191EDE" w:rsidP="00191EDE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191EDE" w:rsidRDefault="00191EDE" w:rsidP="00191EDE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 Общая характеристика, основные проблемы 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прогноз развития сферы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программы</w:t>
      </w:r>
    </w:p>
    <w:p w:rsidR="00191EDE" w:rsidRDefault="00191EDE" w:rsidP="00191EDE">
      <w:pPr>
        <w:tabs>
          <w:tab w:val="left" w:pos="2295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Муниципальная программа Тихвинского района «Развитие физической культуры и спорта в Тихвинском районе» (далее - Муниципальная программа) разработана </w:t>
      </w:r>
      <w:r>
        <w:rPr>
          <w:rFonts w:eastAsia="Calibri"/>
          <w:color w:val="000000"/>
          <w:sz w:val="24"/>
          <w:szCs w:val="24"/>
          <w:lang w:eastAsia="en-US"/>
        </w:rPr>
        <w:t>в соответствии с постановлениями администрации Тихвинского района:</w:t>
      </w:r>
      <w:r>
        <w:rPr>
          <w:color w:val="000000"/>
          <w:sz w:val="24"/>
          <w:szCs w:val="24"/>
        </w:rPr>
        <w:t xml:space="preserve">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191EDE" w:rsidRDefault="00191EDE" w:rsidP="00191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Цели государственной политики в сфере физической культуры и спорта определены </w:t>
      </w:r>
      <w:r w:rsidRPr="008D5236">
        <w:rPr>
          <w:rFonts w:ascii="Times New Roman" w:hAnsi="Times New Roman" w:cs="Times New Roman"/>
          <w:sz w:val="24"/>
          <w:szCs w:val="24"/>
        </w:rPr>
        <w:t>Указом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года".</w:t>
      </w:r>
    </w:p>
    <w:p w:rsidR="00191EDE" w:rsidRDefault="00191EDE" w:rsidP="00191E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на здоровый образ жизни, занятия спортом - одна из позитивных тенденций развития современного российского общества. Вопросы создания эффективной системы вовлечения граждан Тихвинского района в занятия физической культурой и спортом, формирование новых возможностей для их самореализации являются в настоящее время наиболее актуальными.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В Тихвинском районе культивируется около 30 видов спорта. Доля населения, систематически занимающегося физической культурой и спортом, по состоянию на 1 января 2020 года составила </w:t>
      </w:r>
      <w:r>
        <w:rPr>
          <w:sz w:val="24"/>
          <w:szCs w:val="24"/>
        </w:rPr>
        <w:t>22364 человек (32,14% от численности населения</w:t>
      </w:r>
      <w:r>
        <w:rPr>
          <w:color w:val="000000"/>
          <w:sz w:val="24"/>
          <w:szCs w:val="24"/>
        </w:rPr>
        <w:t xml:space="preserve"> Тихвинского района</w:t>
      </w:r>
      <w:r>
        <w:rPr>
          <w:sz w:val="24"/>
          <w:szCs w:val="24"/>
        </w:rPr>
        <w:t>).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Ежегодное проведение на территории Тихвинского района более 100 массовых физкультурных и спортивных мероприятий для различных групп населения: районных </w:t>
      </w:r>
      <w:r>
        <w:rPr>
          <w:color w:val="000000"/>
          <w:sz w:val="24"/>
          <w:szCs w:val="24"/>
        </w:rPr>
        <w:lastRenderedPageBreak/>
        <w:t xml:space="preserve">спортивных праздников, фестивалей, конкурсов, различных соревнований по видам спорта позволяет вовлечь в физкультурную активность все категории граждан, повысить заинтересованность населения в регулярных занятиях физической культурой и спортом.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задач подготовки спортивного резерва, организации процесса спортивной подготовки в соответствии с Федеральными стандартами спортивной подготовки по видам спорта в муниципальном бюджетном учреждении дополнительного образования «Детско-юношеская спортивная школа «Богатырь» создано отделение спортивной подготовки.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в развитии физической культуры и спорта имеет укрепление и развитие спортивных традиций и связей. Ежегодно на территории Тихвинского района проводится более 20 физкультурно-спортивных мероприятий, получивших статус региональных, в которых принимают участие представители муниципальных образований Ленинградской области, других регионов страны и в отдельных случаях зарубежные спортсмены.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Лучшие спортсмены и команды Тихвинского района выступают на соревнованиях самого различного уровня: от регионального до всероссийского. Результаты их выступлений освещаются в средствах массовой информации, на интернет-ресурсах, на радио и телевидении, что повышает популярность и значимость занятий физической культурой и спортом.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Пропагандистская работа является неотъемлемой частью работы по развитию физической культуры и спорта, внедрению здорового образа жизни. Она ведется муниципальными учреждениями, общественными физкультурно-спортивными организациями, некоммерческими партнерствами, спортивными клубами, с использованием возможностей интернет-сайтов и социальных сетей, полиграфической и др. продукции.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Значительную роль в этой работе играет музей спортивной славы «Олимпиец» муниципального бюджетного учреждения дополнительного образования «Детско-юношеская спортивная школа «Богатырь», посетителями которого ежегодно становятся сотни жителей и гостей нашего города.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Ежегодный смотр-конкурс на лучшую постановку работы в сфере физической культуры и спорта в Тихвинском районе способствует повышению активности сельских поселений в реализации полномочий по развитию физической культуры и спорта.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годы продолжает активно развиваться материально-техническая база физической культуры и спорта: ведется реконструкция школьных стадионов и муниципальных спортивных сооружений, на городских дворовых территориях, в сельских поселениях появляются объекты городской и рекреационной инфраструктуры, приспособленные для занятий физической культурой и спортом.  </w:t>
      </w:r>
    </w:p>
    <w:p w:rsidR="00191EDE" w:rsidRDefault="00191EDE" w:rsidP="00191E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планируется решение комплекса задач, направленных на создание условий для занятий физической культурой и спортом для всех категорий и групп населения, развитие системы подготовки спортивного резерва,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использования ресурсов в сфере физической культуры и спорта Тихвинского района.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191EDE" w:rsidRDefault="00191EDE" w:rsidP="00191ED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3.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физической культуры и спорта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Тихвинском </w:t>
      </w:r>
      <w:r w:rsidR="007031C2">
        <w:rPr>
          <w:rFonts w:eastAsia="Calibri"/>
          <w:b/>
          <w:bCs/>
          <w:color w:val="000000"/>
          <w:sz w:val="24"/>
          <w:szCs w:val="24"/>
          <w:lang w:eastAsia="en-US"/>
        </w:rPr>
        <w:t>районе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. Цели и задачи Муниципальной программы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191EDE" w:rsidRDefault="00191EDE" w:rsidP="00191ED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Приоритетными задачами и действиями администрации Тихвинского района по реализации муниципальной политики в сфере развития физической культуры и спорта являются:</w:t>
      </w:r>
    </w:p>
    <w:p w:rsidR="00191EDE" w:rsidRDefault="00191EDE" w:rsidP="00191EDE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 Создание условий для увеличения охвата населения занятиями физической культурой и спортом, формирования здорового образа жизни.</w:t>
      </w:r>
    </w:p>
    <w:p w:rsidR="00191EDE" w:rsidRDefault="00191EDE" w:rsidP="00191EDE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Сохранение и совершенствование материально-технической базы и инфраструктуры физической культуры и спорта.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Муниципальной программы - обеспечение условий для развития на территории Тихвинского района физической культуры и массового спорта.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Муниципальной программы: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организация проведения официальных физкультурных и спортивных мероприятий на территории Тихвинского района;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обеспечение участия в официальных и других физкультурных и спортивных мероприятиях различного уровня;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</w:t>
      </w:r>
      <w:r>
        <w:rPr>
          <w:bCs/>
          <w:color w:val="000000"/>
          <w:sz w:val="24"/>
          <w:szCs w:val="24"/>
        </w:rPr>
        <w:t>подготовка спортивного резерва, организация спортивной подготовки</w:t>
      </w:r>
      <w:r>
        <w:rPr>
          <w:color w:val="000000"/>
          <w:sz w:val="24"/>
          <w:szCs w:val="24"/>
        </w:rPr>
        <w:t>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популяризация массовых видов спорта.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91EDE" w:rsidRDefault="00191EDE" w:rsidP="007031C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4. Прогноз ожидаемых конечных результатов реализации Муниципальной программы в сфере развития физической культуры и спорта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районе</w:t>
      </w:r>
    </w:p>
    <w:p w:rsidR="00191EDE" w:rsidRDefault="00191EDE" w:rsidP="00191EDE">
      <w:pPr>
        <w:ind w:firstLine="709"/>
        <w:rPr>
          <w:b/>
          <w:bCs/>
          <w:color w:val="000000"/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культурой, спортом, вести здоровый образ жизни; увеличить долю населения, систематически занимающегося физической культурой и спортом, в общей численности населения от 3 до 79 лет до </w:t>
      </w:r>
      <w:r>
        <w:rPr>
          <w:b/>
          <w:color w:val="000000"/>
          <w:sz w:val="24"/>
          <w:szCs w:val="24"/>
        </w:rPr>
        <w:t>33,5%</w:t>
      </w:r>
      <w:r>
        <w:rPr>
          <w:color w:val="000000"/>
          <w:sz w:val="24"/>
          <w:szCs w:val="24"/>
        </w:rPr>
        <w:t xml:space="preserve"> в 2023 году, обеспечить количество занимающихся на этапах спортивной подготовки в соответствии с Федеральными стандартами спортивной подготовки 259 чел.  в 2021 -  2023 годах.    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191EDE" w:rsidRDefault="00191EDE" w:rsidP="00191ED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91EDE" w:rsidRDefault="00191EDE" w:rsidP="00191EDE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5.  Сроки реализации Муниципальной программы в целом, этапы (если предусмотрены) и сроки их реализации с указанием промежуточных показателей</w:t>
      </w:r>
    </w:p>
    <w:p w:rsidR="00191EDE" w:rsidRDefault="00191EDE" w:rsidP="00191EDE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реализации основных мероприятий Муниципальной программы рассчитаны на период с 2021 по 2023 годы.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191EDE" w:rsidRDefault="00191EDE" w:rsidP="00191ED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91EDE" w:rsidRDefault="00191EDE" w:rsidP="007031C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6. Показатели (индикаторы) реализации муниципальной программы, в т.ч. по годам реализации муниципальной программы Тихвинского района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районе»</w:t>
      </w:r>
    </w:p>
    <w:p w:rsidR="00191EDE" w:rsidRDefault="00191EDE" w:rsidP="00191ED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Показателями (индикаторами) Муниципальной программы являются: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i/>
          <w:iCs/>
          <w:color w:val="000000"/>
          <w:sz w:val="24"/>
          <w:szCs w:val="24"/>
        </w:rPr>
        <w:t>доля населения, занимающегося физической культурой и спортом, в общей численности населения Тихвинского района</w:t>
      </w:r>
      <w:r>
        <w:rPr>
          <w:color w:val="000000"/>
          <w:sz w:val="24"/>
          <w:szCs w:val="24"/>
        </w:rPr>
        <w:t xml:space="preserve"> рассчитывается по формуле: </w:t>
      </w:r>
      <w:r>
        <w:rPr>
          <w:b/>
          <w:bCs/>
          <w:color w:val="000000"/>
          <w:sz w:val="24"/>
          <w:szCs w:val="24"/>
        </w:rPr>
        <w:t>Д = Чз/Чн * 100%</w:t>
      </w:r>
      <w:r>
        <w:rPr>
          <w:color w:val="000000"/>
          <w:sz w:val="24"/>
          <w:szCs w:val="24"/>
        </w:rPr>
        <w:t>, где: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 - доля населения, занимающегося физической культурой и спортом;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Чз</w:t>
      </w:r>
      <w:r>
        <w:rPr>
          <w:color w:val="000000"/>
          <w:sz w:val="24"/>
          <w:szCs w:val="24"/>
        </w:rPr>
        <w:t xml:space="preserve"> - численность занимающихся физической культурой и спортом, согласно данным федерального статистического наблюдения по форме №1-ФК (пункт 47.1 Федерального плана статистических работ) и данным статистического наблюдения, в соответствии с Методикой выявления доли населения, систематически занимающегося физической </w:t>
      </w:r>
      <w:r>
        <w:rPr>
          <w:color w:val="000000"/>
          <w:sz w:val="24"/>
          <w:szCs w:val="24"/>
        </w:rPr>
        <w:lastRenderedPageBreak/>
        <w:t>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Федерации;</w:t>
      </w:r>
    </w:p>
    <w:p w:rsidR="00191EDE" w:rsidRDefault="00191EDE" w:rsidP="00191ED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Чн</w:t>
      </w:r>
      <w:r>
        <w:rPr>
          <w:color w:val="000000"/>
          <w:sz w:val="24"/>
          <w:szCs w:val="24"/>
        </w:rPr>
        <w:t xml:space="preserve"> - среднегодовая численность населения Тихвинского района. </w:t>
      </w:r>
    </w:p>
    <w:p w:rsidR="00191EDE" w:rsidRDefault="00191EDE" w:rsidP="00191EDE">
      <w:pP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-обеспечение количества занимающихся на этапах спортивной подготовки в соответствии с Федеральными стандартами спортивной подготовки </w:t>
      </w:r>
      <w:r>
        <w:rPr>
          <w:color w:val="000000"/>
          <w:sz w:val="24"/>
          <w:szCs w:val="24"/>
        </w:rPr>
        <w:t>определяется согласно данным федерального статистического наблюдения по форме 5-ФК.</w:t>
      </w:r>
    </w:p>
    <w:p w:rsidR="00191EDE" w:rsidRDefault="00191EDE" w:rsidP="00191EDE">
      <w:pPr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Прогнозные значения показателей (индикаторов)</w:t>
      </w:r>
      <w:r>
        <w:rPr>
          <w:bCs/>
          <w:sz w:val="24"/>
          <w:szCs w:val="24"/>
        </w:rPr>
        <w:t xml:space="preserve"> реализации муниципальной программы Тихвинского района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«Развитие физической культуры и спорта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Тихвинском районе»</w:t>
      </w:r>
      <w:r>
        <w:rPr>
          <w:sz w:val="24"/>
          <w:szCs w:val="24"/>
        </w:rPr>
        <w:t xml:space="preserve"> представлены в Приложении №1 к Муниципальной программе.</w:t>
      </w:r>
    </w:p>
    <w:p w:rsidR="00191EDE" w:rsidRDefault="00191EDE" w:rsidP="00191EDE">
      <w:pPr>
        <w:ind w:right="-1"/>
        <w:jc w:val="center"/>
        <w:rPr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Перечень основных мероприятий Муниципальной программы, сведения об их взаимосвязи с целью и задачами муниципальной программы (подпрограмм Муниципальной программы), их характеристика.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обеспечения устойчивого развития сферы физической культуры и спорта Муниципальной программой предусмотрено выполнение следующих мероприятий: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развитие физической культуры;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развитие массового спорта;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подготовка спортивного резерва, организация спортивной подготовки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мероприятия по развитию физической культуры и спорта входят физкультурные мероприятия по видам спорта, спартакиады.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мероприятия по развитию массового спорта входят спортивные соревнования по видам спорта, участие в официальных и других спортивных соревнованиях различного уровня. 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мероприятиям подготовки спортивного резерва, организации спортивной подготовки относится работа групп спортивной подготовки по видам спорта, участие в спортивных соревнованиях, проведение спортивно-тренировочных сборов,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приобретение спортивного инвентаря, оборудования, экипировки для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191EDE" w:rsidRDefault="00191EDE" w:rsidP="00191EDE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К мероприятиям федерального проекта «Спорт – норма жизни» относится </w:t>
      </w:r>
      <w:r>
        <w:rPr>
          <w:rFonts w:eastAsia="Calibri"/>
          <w:color w:val="000000"/>
          <w:sz w:val="24"/>
          <w:szCs w:val="24"/>
          <w:lang w:eastAsia="en-US"/>
        </w:rPr>
        <w:t>приобретение спортивного инвентаря, оборудования, экипировки для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Все мероприятия Муниципальной программы направлены на обеспечение условий для развития на территории Тихвинского района физической культуры и массового спорта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191EDE" w:rsidRDefault="00191EDE" w:rsidP="007031C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8. Объем финансовых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ресурсов, необходимых для реализации Муниципальной программы.</w:t>
      </w: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91EDE" w:rsidRDefault="00191EDE" w:rsidP="00191EDE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  </w:t>
      </w:r>
      <w:r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программы, составляет: всего за период с 2021 по 2023 годы </w:t>
      </w:r>
      <w:r>
        <w:rPr>
          <w:rFonts w:eastAsia="Calibri"/>
          <w:color w:val="000000"/>
          <w:sz w:val="24"/>
          <w:szCs w:val="24"/>
          <w:lang w:eastAsia="en-US"/>
        </w:rPr>
        <w:t>составляет –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25739,9 тыс. руб., из них:</w:t>
      </w:r>
    </w:p>
    <w:p w:rsidR="00191EDE" w:rsidRDefault="00191EDE" w:rsidP="00191ED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из средств бюджета Ленинградской области – 8441,6 тыс. руб. </w:t>
      </w:r>
    </w:p>
    <w:p w:rsidR="00191EDE" w:rsidRDefault="00191EDE" w:rsidP="00191ED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из средств бюджета </w:t>
      </w:r>
      <w:r>
        <w:rPr>
          <w:sz w:val="24"/>
          <w:szCs w:val="24"/>
        </w:rPr>
        <w:t>Тихвинского района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 17298,3 тыс. руб.</w:t>
      </w:r>
    </w:p>
    <w:p w:rsidR="00191EDE" w:rsidRDefault="00191EDE" w:rsidP="00191ED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том числе по годам: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</w:t>
      </w:r>
      <w:r>
        <w:rPr>
          <w:rFonts w:eastAsia="Calibri"/>
          <w:bCs/>
          <w:sz w:val="24"/>
          <w:szCs w:val="24"/>
          <w:lang w:eastAsia="en-US"/>
        </w:rPr>
        <w:t xml:space="preserve"> год – </w:t>
      </w:r>
      <w:r>
        <w:rPr>
          <w:rFonts w:eastAsia="Calibri"/>
          <w:b/>
          <w:bCs/>
          <w:sz w:val="24"/>
          <w:szCs w:val="24"/>
          <w:lang w:eastAsia="en-US"/>
        </w:rPr>
        <w:t xml:space="preserve">8747,7 тыс. руб., </w:t>
      </w:r>
      <w:r>
        <w:rPr>
          <w:rFonts w:eastAsia="Calibri"/>
          <w:bCs/>
          <w:sz w:val="24"/>
          <w:szCs w:val="24"/>
          <w:lang w:eastAsia="en-US"/>
        </w:rPr>
        <w:t xml:space="preserve">из них: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Ленинградской области –2981,6 тыс. руб.;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</w:t>
      </w:r>
      <w:r>
        <w:rPr>
          <w:sz w:val="24"/>
          <w:szCs w:val="24"/>
        </w:rPr>
        <w:t>Тихвинского района</w:t>
      </w:r>
      <w:r>
        <w:rPr>
          <w:rFonts w:eastAsia="Calibri"/>
          <w:bCs/>
          <w:sz w:val="24"/>
          <w:szCs w:val="24"/>
          <w:lang w:eastAsia="en-US"/>
        </w:rPr>
        <w:t xml:space="preserve"> – 5766,1 тыс. руб.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2022</w:t>
      </w:r>
      <w:r>
        <w:rPr>
          <w:rFonts w:eastAsia="Calibri"/>
          <w:bCs/>
          <w:sz w:val="24"/>
          <w:szCs w:val="24"/>
          <w:lang w:eastAsia="en-US"/>
        </w:rPr>
        <w:t xml:space="preserve"> год – </w:t>
      </w:r>
      <w:r>
        <w:rPr>
          <w:rFonts w:eastAsia="Calibri"/>
          <w:b/>
          <w:bCs/>
          <w:sz w:val="24"/>
          <w:szCs w:val="24"/>
          <w:lang w:eastAsia="en-US"/>
        </w:rPr>
        <w:t xml:space="preserve">8496,1 тыс. руб., </w:t>
      </w:r>
      <w:r>
        <w:rPr>
          <w:rFonts w:eastAsia="Calibri"/>
          <w:bCs/>
          <w:sz w:val="24"/>
          <w:szCs w:val="24"/>
          <w:lang w:eastAsia="en-US"/>
        </w:rPr>
        <w:t xml:space="preserve">из них: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Ленинградской области – 2730,0 тыс. руб.;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</w:t>
      </w:r>
      <w:r>
        <w:rPr>
          <w:sz w:val="24"/>
          <w:szCs w:val="24"/>
        </w:rPr>
        <w:t>Тихвинского района</w:t>
      </w:r>
      <w:r>
        <w:rPr>
          <w:rFonts w:eastAsia="Calibri"/>
          <w:bCs/>
          <w:sz w:val="24"/>
          <w:szCs w:val="24"/>
          <w:lang w:eastAsia="en-US"/>
        </w:rPr>
        <w:t xml:space="preserve"> – 5766,1 тыс. руб.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2023 год </w:t>
      </w:r>
      <w:r>
        <w:rPr>
          <w:rFonts w:eastAsia="Calibri"/>
          <w:bCs/>
          <w:sz w:val="24"/>
          <w:szCs w:val="24"/>
          <w:lang w:eastAsia="en-US"/>
        </w:rPr>
        <w:t xml:space="preserve">– </w:t>
      </w:r>
      <w:r>
        <w:rPr>
          <w:rFonts w:eastAsia="Calibri"/>
          <w:b/>
          <w:bCs/>
          <w:sz w:val="24"/>
          <w:szCs w:val="24"/>
          <w:lang w:eastAsia="en-US"/>
        </w:rPr>
        <w:t>8496,1 тыс. руб., из</w:t>
      </w:r>
      <w:r>
        <w:rPr>
          <w:rFonts w:eastAsia="Calibri"/>
          <w:bCs/>
          <w:sz w:val="24"/>
          <w:szCs w:val="24"/>
          <w:lang w:eastAsia="en-US"/>
        </w:rPr>
        <w:t xml:space="preserve"> них: </w:t>
      </w:r>
    </w:p>
    <w:p w:rsidR="00191EDE" w:rsidRDefault="00191EDE" w:rsidP="00191EDE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Ленинградской области – 2730,0 тыс. руб.; </w:t>
      </w:r>
    </w:p>
    <w:p w:rsidR="00191EDE" w:rsidRDefault="00191EDE" w:rsidP="00191EDE">
      <w:pPr>
        <w:rPr>
          <w:b/>
          <w:bCs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- из средств бюджета </w:t>
      </w:r>
      <w:r>
        <w:rPr>
          <w:sz w:val="24"/>
          <w:szCs w:val="24"/>
        </w:rPr>
        <w:t>Тихвинского района</w:t>
      </w:r>
      <w:r>
        <w:rPr>
          <w:rFonts w:eastAsia="Calibri"/>
          <w:bCs/>
          <w:sz w:val="24"/>
          <w:szCs w:val="24"/>
          <w:lang w:eastAsia="en-US"/>
        </w:rPr>
        <w:t xml:space="preserve"> – 5766,1 тыс. руб.</w:t>
      </w:r>
    </w:p>
    <w:p w:rsidR="00191EDE" w:rsidRDefault="00191EDE" w:rsidP="00191ED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191EDE" w:rsidRDefault="00191EDE" w:rsidP="007031C2">
      <w:pPr>
        <w:autoSpaceDE w:val="0"/>
        <w:autoSpaceDN w:val="0"/>
        <w:adjustRightInd w:val="0"/>
        <w:ind w:right="-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Методика оценки эффективности реализации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Муниципальной программы</w:t>
      </w: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5.10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12 января 2021 года №01-7-а.</w:t>
      </w: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:rsidR="00191EDE" w:rsidRDefault="00191EDE" w:rsidP="00191EDE">
      <w:pPr>
        <w:spacing w:after="160" w:line="256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191EDE" w:rsidRDefault="00191EDE" w:rsidP="007031C2">
      <w:pPr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10.  План реализации Муниципальной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191EDE" w:rsidRDefault="00191EDE" w:rsidP="00191ED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91EDE" w:rsidRDefault="00191EDE" w:rsidP="00191EDE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План реализации Муниципальной программы изложен в Приложении №2 к Муниципальной программе. </w:t>
      </w: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spacing w:line="360" w:lineRule="auto"/>
        <w:rPr>
          <w:b/>
          <w:sz w:val="24"/>
          <w:szCs w:val="24"/>
        </w:rPr>
      </w:pPr>
    </w:p>
    <w:p w:rsidR="00191EDE" w:rsidRDefault="00191EDE" w:rsidP="00191EDE">
      <w:pPr>
        <w:ind w:right="-1"/>
        <w:rPr>
          <w:sz w:val="22"/>
          <w:szCs w:val="22"/>
        </w:rPr>
      </w:pPr>
    </w:p>
    <w:p w:rsidR="00191EDE" w:rsidRDefault="00191EDE" w:rsidP="00191EDE">
      <w:pPr>
        <w:ind w:right="-1"/>
        <w:rPr>
          <w:sz w:val="22"/>
          <w:szCs w:val="22"/>
        </w:rPr>
      </w:pPr>
    </w:p>
    <w:p w:rsidR="00191EDE" w:rsidRDefault="00191EDE" w:rsidP="00191EDE">
      <w:pPr>
        <w:ind w:right="-1"/>
        <w:rPr>
          <w:sz w:val="22"/>
          <w:szCs w:val="22"/>
        </w:rPr>
      </w:pPr>
    </w:p>
    <w:p w:rsidR="00191EDE" w:rsidRDefault="00191EDE" w:rsidP="00191EDE">
      <w:pPr>
        <w:ind w:right="-1"/>
        <w:rPr>
          <w:sz w:val="22"/>
          <w:szCs w:val="22"/>
        </w:rPr>
      </w:pPr>
    </w:p>
    <w:p w:rsidR="00191EDE" w:rsidRDefault="007031C2" w:rsidP="00191EDE">
      <w:pPr>
        <w:ind w:right="-1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1EDE" w:rsidRDefault="00191EDE" w:rsidP="00191EDE">
      <w:pPr>
        <w:ind w:left="3600" w:right="-1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91EDE" w:rsidRDefault="00191EDE" w:rsidP="00191EDE">
      <w:pPr>
        <w:ind w:left="3600"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91EDE" w:rsidRDefault="00191EDE" w:rsidP="00191EDE">
      <w:pPr>
        <w:ind w:left="3600" w:right="-1"/>
        <w:jc w:val="left"/>
        <w:rPr>
          <w:sz w:val="22"/>
          <w:szCs w:val="22"/>
        </w:rPr>
      </w:pPr>
      <w:r>
        <w:rPr>
          <w:sz w:val="22"/>
          <w:szCs w:val="22"/>
        </w:rPr>
        <w:t>Тихвинского района «Развитие</w:t>
      </w:r>
    </w:p>
    <w:p w:rsidR="00191EDE" w:rsidRDefault="00191EDE" w:rsidP="00191EDE">
      <w:pPr>
        <w:ind w:left="3600" w:right="-1"/>
        <w:jc w:val="left"/>
        <w:rPr>
          <w:sz w:val="22"/>
          <w:szCs w:val="22"/>
        </w:rPr>
      </w:pPr>
      <w:r>
        <w:rPr>
          <w:sz w:val="22"/>
          <w:szCs w:val="22"/>
        </w:rPr>
        <w:t>физической культуры и спорта в Тихвинском районе»</w:t>
      </w:r>
    </w:p>
    <w:p w:rsidR="00191EDE" w:rsidRDefault="00191EDE" w:rsidP="00191EDE">
      <w:pPr>
        <w:ind w:right="-1"/>
        <w:jc w:val="right"/>
        <w:rPr>
          <w:sz w:val="22"/>
          <w:szCs w:val="22"/>
        </w:rPr>
      </w:pPr>
    </w:p>
    <w:p w:rsidR="00191EDE" w:rsidRDefault="00191EDE" w:rsidP="00191EDE">
      <w:pPr>
        <w:ind w:right="-1"/>
        <w:jc w:val="right"/>
        <w:rPr>
          <w:sz w:val="22"/>
          <w:szCs w:val="22"/>
        </w:rPr>
      </w:pPr>
    </w:p>
    <w:p w:rsidR="00191EDE" w:rsidRDefault="00191EDE" w:rsidP="00191EDE">
      <w:pPr>
        <w:ind w:right="-1"/>
        <w:rPr>
          <w:sz w:val="22"/>
          <w:szCs w:val="22"/>
        </w:rPr>
      </w:pPr>
    </w:p>
    <w:p w:rsidR="00191EDE" w:rsidRDefault="00191EDE" w:rsidP="00191EDE">
      <w:pPr>
        <w:ind w:right="-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Прогнозные значения показателей (индикаторов) реализации муниципальной программы, в т.ч. по годам реализации муниципальной программы Тихвинского района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«Развитие физической культуры и спорта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Тихвинском районе»</w:t>
      </w:r>
      <w:r>
        <w:rPr>
          <w:sz w:val="24"/>
          <w:szCs w:val="24"/>
        </w:rPr>
        <w:t xml:space="preserve"> </w:t>
      </w:r>
    </w:p>
    <w:p w:rsidR="00191EDE" w:rsidRDefault="00191EDE" w:rsidP="00191EDE">
      <w:pPr>
        <w:jc w:val="right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417"/>
        <w:gridCol w:w="1050"/>
        <w:gridCol w:w="1035"/>
        <w:gridCol w:w="1459"/>
      </w:tblGrid>
      <w:tr w:rsidR="00191EDE" w:rsidTr="00191EDE"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91EDE" w:rsidRDefault="00191E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191EDE" w:rsidRDefault="00191E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91EDE" w:rsidRDefault="00191ED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EDE" w:rsidTr="00191EDE">
        <w:tc>
          <w:tcPr>
            <w:tcW w:w="93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1EDE" w:rsidRDefault="00191ED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1EDE" w:rsidRDefault="00191ED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1EDE" w:rsidRDefault="00191ED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 год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91EDE" w:rsidTr="00191ED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91EDE" w:rsidTr="00191EDE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мероприятие: 1. Развитие физической культуры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EDE" w:rsidTr="00191ED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занимающегося физической культурой и спортом, в общей численности населения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191EDE" w:rsidTr="00191EDE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мероприятие: 2. Развитие массового спорта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EDE" w:rsidTr="00191ED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занимающегося физической культурой и спортом, в общей численности населения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191EDE" w:rsidTr="00191EDE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мероприятие: 3. Подготовка спортивного резерва, организация спортивной подготовки</w:t>
            </w:r>
          </w:p>
        </w:tc>
      </w:tr>
      <w:tr w:rsidR="00191EDE" w:rsidTr="00191ED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количества занимающихся на этапах спортивной подготовки в соответствии с Федеральными стандартами спортивной подготовки.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</w:tr>
      <w:tr w:rsidR="00191EDE" w:rsidTr="00191EDE"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 Федеральный проект «Спорт – норма жизни»</w:t>
            </w:r>
          </w:p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EDE" w:rsidTr="00191EDE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занимающегося физической культурой и спортом, в общей численности населения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EDE" w:rsidRDefault="00191E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</w:tbl>
    <w:p w:rsidR="00191EDE" w:rsidRDefault="00191EDE" w:rsidP="00191ED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191EDE" w:rsidRDefault="00191EDE" w:rsidP="00191EDE">
      <w:pPr>
        <w:jc w:val="left"/>
        <w:rPr>
          <w:sz w:val="22"/>
          <w:szCs w:val="22"/>
        </w:rPr>
        <w:sectPr w:rsidR="00191EDE" w:rsidSect="008D5236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191EDE" w:rsidRDefault="00191EDE" w:rsidP="00191EDE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191EDE" w:rsidRDefault="00191EDE" w:rsidP="00191EDE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Тихвинского района </w:t>
      </w:r>
    </w:p>
    <w:p w:rsidR="00191EDE" w:rsidRDefault="00191EDE" w:rsidP="00191EDE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«Развитие физической культуры и спорта </w:t>
      </w:r>
    </w:p>
    <w:p w:rsidR="00191EDE" w:rsidRDefault="00191EDE" w:rsidP="00191EDE">
      <w:pPr>
        <w:tabs>
          <w:tab w:val="left" w:pos="5025"/>
        </w:tabs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t>в Тихвинском районе»</w:t>
      </w:r>
    </w:p>
    <w:p w:rsidR="00191EDE" w:rsidRDefault="00191EDE" w:rsidP="00191EDE">
      <w:pPr>
        <w:ind w:left="9072"/>
        <w:jc w:val="left"/>
        <w:rPr>
          <w:sz w:val="24"/>
          <w:szCs w:val="24"/>
        </w:rPr>
      </w:pPr>
    </w:p>
    <w:p w:rsidR="00191EDE" w:rsidRPr="007031C2" w:rsidRDefault="00191EDE" w:rsidP="00191ED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191EDE" w:rsidRPr="007031C2" w:rsidRDefault="00191EDE" w:rsidP="00191EDE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7031C2">
        <w:rPr>
          <w:b/>
          <w:bCs/>
          <w:color w:val="000000"/>
          <w:sz w:val="23"/>
          <w:szCs w:val="23"/>
        </w:rPr>
        <w:t xml:space="preserve">ПЛАН  </w:t>
      </w:r>
    </w:p>
    <w:p w:rsidR="00191EDE" w:rsidRPr="007031C2" w:rsidRDefault="00191EDE" w:rsidP="00191EDE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7031C2">
        <w:rPr>
          <w:b/>
          <w:bCs/>
          <w:color w:val="000000"/>
          <w:sz w:val="23"/>
          <w:szCs w:val="23"/>
        </w:rPr>
        <w:t xml:space="preserve">реализации муниципальной программы Тихвинского района </w:t>
      </w:r>
    </w:p>
    <w:p w:rsidR="00191EDE" w:rsidRPr="007031C2" w:rsidRDefault="00191EDE" w:rsidP="00191ED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31C2">
        <w:rPr>
          <w:b/>
          <w:bCs/>
          <w:color w:val="000000"/>
          <w:sz w:val="23"/>
          <w:szCs w:val="23"/>
        </w:rPr>
        <w:t>«Развитие физической культуры и спорта в Тихвинском районе»</w:t>
      </w:r>
      <w:r w:rsidRPr="007031C2">
        <w:rPr>
          <w:color w:val="000000"/>
          <w:sz w:val="23"/>
          <w:szCs w:val="23"/>
        </w:rPr>
        <w:t xml:space="preserve"> </w:t>
      </w:r>
    </w:p>
    <w:p w:rsidR="00191EDE" w:rsidRPr="007031C2" w:rsidRDefault="00191EDE" w:rsidP="00191ED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155"/>
        <w:gridCol w:w="284"/>
        <w:gridCol w:w="3022"/>
        <w:gridCol w:w="1417"/>
        <w:gridCol w:w="1180"/>
        <w:gridCol w:w="1322"/>
        <w:gridCol w:w="1418"/>
        <w:gridCol w:w="1184"/>
        <w:gridCol w:w="1276"/>
      </w:tblGrid>
      <w:tr w:rsidR="00191EDE" w:rsidRPr="007031C2" w:rsidTr="007031C2">
        <w:tc>
          <w:tcPr>
            <w:tcW w:w="4155" w:type="dxa"/>
            <w:vMerge w:val="restart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306" w:type="dxa"/>
            <w:gridSpan w:val="2"/>
            <w:vMerge w:val="restart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исполнитель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соисполнитель,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участник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91EDE" w:rsidRPr="007031C2" w:rsidRDefault="00191EDE" w:rsidP="00191EDE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Годы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реализации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380" w:type="dxa"/>
            <w:gridSpan w:val="5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Оценка расходов (тыс. руб., в ценах соответствующих лет)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80" w:type="dxa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Всего </w:t>
            </w:r>
          </w:p>
        </w:tc>
        <w:tc>
          <w:tcPr>
            <w:tcW w:w="1322" w:type="dxa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Федеральный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бюджет </w:t>
            </w:r>
          </w:p>
        </w:tc>
        <w:tc>
          <w:tcPr>
            <w:tcW w:w="1418" w:type="dxa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Областной бюджет </w:t>
            </w:r>
          </w:p>
        </w:tc>
        <w:tc>
          <w:tcPr>
            <w:tcW w:w="1184" w:type="dxa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hideMark/>
          </w:tcPr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Прочие источники</w:t>
            </w:r>
          </w:p>
        </w:tc>
      </w:tr>
      <w:tr w:rsidR="00191EDE" w:rsidRPr="007031C2" w:rsidTr="007031C2">
        <w:tc>
          <w:tcPr>
            <w:tcW w:w="4155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3306" w:type="dxa"/>
            <w:gridSpan w:val="2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1417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  <w:tc>
          <w:tcPr>
            <w:tcW w:w="1180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4 </w:t>
            </w:r>
          </w:p>
        </w:tc>
        <w:tc>
          <w:tcPr>
            <w:tcW w:w="1322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5 </w:t>
            </w:r>
          </w:p>
        </w:tc>
        <w:tc>
          <w:tcPr>
            <w:tcW w:w="1418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6 </w:t>
            </w:r>
          </w:p>
        </w:tc>
        <w:tc>
          <w:tcPr>
            <w:tcW w:w="1184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7 </w:t>
            </w:r>
          </w:p>
        </w:tc>
        <w:tc>
          <w:tcPr>
            <w:tcW w:w="1276" w:type="dxa"/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191EDE" w:rsidRPr="007031C2" w:rsidTr="007031C2">
        <w:tc>
          <w:tcPr>
            <w:tcW w:w="13982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Основное мероприятие 1. Развитие физической культуры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91EDE" w:rsidRPr="007031C2" w:rsidTr="007031C2">
        <w:tc>
          <w:tcPr>
            <w:tcW w:w="41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 Обеспечение деятельности (услуги, работы) бюджетных учреждений     </w:t>
            </w:r>
          </w:p>
        </w:tc>
        <w:tc>
          <w:tcPr>
            <w:tcW w:w="3306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color w:val="000000"/>
                <w:sz w:val="23"/>
                <w:szCs w:val="23"/>
              </w:rPr>
              <w:t>Отв. исполнитель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-</w:t>
            </w:r>
            <w:r w:rsidR="00C70BE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Комитет по культуре, спорту и молодежной политике; Участники -  МБУ ДО «ДЮСШ «Богатырь»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110,0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110,0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110,0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110,0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330,0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330,0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color w:val="000000"/>
                <w:sz w:val="23"/>
                <w:szCs w:val="23"/>
              </w:rPr>
              <w:t>1.2.</w:t>
            </w:r>
            <w:r w:rsidRPr="007031C2">
              <w:rPr>
                <w:sz w:val="23"/>
                <w:szCs w:val="23"/>
              </w:rPr>
              <w:t xml:space="preserve"> </w:t>
            </w:r>
            <w:r w:rsidRPr="007031C2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306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119,0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119,0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143,9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406,8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406,8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Итого по мероприятию 1. Развитие физической культуры 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229,0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229,0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253,9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736,8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736,8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rPr>
          <w:trHeight w:val="494"/>
        </w:trPr>
        <w:tc>
          <w:tcPr>
            <w:tcW w:w="13982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1EDE" w:rsidRPr="007031C2" w:rsidRDefault="00191EDE" w:rsidP="00191EDE">
            <w:pPr>
              <w:spacing w:after="160" w:line="200" w:lineRule="exact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91EDE" w:rsidRPr="007031C2" w:rsidRDefault="00191EDE" w:rsidP="00191EDE">
            <w:pPr>
              <w:spacing w:after="160" w:line="200" w:lineRule="exact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Основное мероприятие 2. Развитие массового спорта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1EDE" w:rsidRPr="007031C2" w:rsidRDefault="00191EDE" w:rsidP="00191EDE">
            <w:pPr>
              <w:spacing w:after="160" w:line="200" w:lineRule="exact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91EDE" w:rsidRPr="007031C2" w:rsidTr="007031C2">
        <w:tc>
          <w:tcPr>
            <w:tcW w:w="41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color w:val="000000"/>
                <w:sz w:val="23"/>
                <w:szCs w:val="23"/>
              </w:rPr>
              <w:t xml:space="preserve">2.1. 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Обеспечение деятельности (услуги, работы) бюджетных учреждений     </w:t>
            </w:r>
          </w:p>
        </w:tc>
        <w:tc>
          <w:tcPr>
            <w:tcW w:w="3306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Отв. исполнитель- Комитет по культуре, спорту и молодежной политике; Участники - МБУ ДО  «ДЮСШ  «Богатырь»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3060,0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b/>
                <w:sz w:val="23"/>
                <w:szCs w:val="23"/>
              </w:rPr>
            </w:pPr>
            <w:r w:rsidRPr="007031C2">
              <w:rPr>
                <w:b/>
                <w:sz w:val="23"/>
                <w:szCs w:val="23"/>
              </w:rPr>
              <w:t>3060,0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b/>
                <w:sz w:val="23"/>
                <w:szCs w:val="23"/>
              </w:rPr>
            </w:pPr>
            <w:r w:rsidRPr="007031C2">
              <w:rPr>
                <w:b/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мероприятию 2. Развитие массового спорта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1020,0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1020,0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sz w:val="23"/>
                <w:szCs w:val="23"/>
              </w:rPr>
            </w:pPr>
            <w:r w:rsidRPr="007031C2">
              <w:rPr>
                <w:sz w:val="23"/>
                <w:szCs w:val="23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3060,0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b/>
                <w:sz w:val="23"/>
                <w:szCs w:val="23"/>
              </w:rPr>
            </w:pPr>
            <w:r w:rsidRPr="007031C2">
              <w:rPr>
                <w:b/>
                <w:sz w:val="23"/>
                <w:szCs w:val="23"/>
              </w:rPr>
              <w:t>3060,0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jc w:val="center"/>
              <w:rPr>
                <w:b/>
                <w:sz w:val="23"/>
                <w:szCs w:val="23"/>
              </w:rPr>
            </w:pPr>
            <w:r w:rsidRPr="007031C2">
              <w:rPr>
                <w:b/>
                <w:sz w:val="23"/>
                <w:szCs w:val="23"/>
              </w:rPr>
              <w:t>0,0</w:t>
            </w:r>
          </w:p>
        </w:tc>
      </w:tr>
      <w:tr w:rsidR="00191EDE" w:rsidRPr="007031C2" w:rsidTr="007031C2">
        <w:trPr>
          <w:trHeight w:val="540"/>
        </w:trPr>
        <w:tc>
          <w:tcPr>
            <w:tcW w:w="13982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                                               </w:t>
            </w:r>
          </w:p>
          <w:p w:rsidR="00191EDE" w:rsidRPr="007031C2" w:rsidRDefault="00191EDE" w:rsidP="00191EDE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Основное мероприятие 3. </w:t>
            </w:r>
            <w:r w:rsidRPr="007031C2">
              <w:rPr>
                <w:b/>
                <w:color w:val="000000"/>
                <w:sz w:val="23"/>
                <w:szCs w:val="23"/>
              </w:rPr>
              <w:t>Подготовка спортивного резерва, организация спортивной подготовки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1EDE" w:rsidRPr="007031C2" w:rsidRDefault="00191EDE" w:rsidP="00191EDE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91EDE" w:rsidRPr="007031C2" w:rsidTr="007031C2">
        <w:tc>
          <w:tcPr>
            <w:tcW w:w="415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3.1.Обеспечение деятельности муниципальных бюджетных учреждений </w:t>
            </w:r>
          </w:p>
        </w:tc>
        <w:tc>
          <w:tcPr>
            <w:tcW w:w="3306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Отв. исполнитель - Комитет по культуре, спорту и молодежной политике; Участники - 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 ДО  «ДЮСШ  «Богатырь»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155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0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Итого по мероприятию 3. </w:t>
            </w:r>
            <w:r w:rsidRPr="007031C2">
              <w:rPr>
                <w:b/>
                <w:color w:val="000000"/>
                <w:sz w:val="23"/>
                <w:szCs w:val="23"/>
              </w:rPr>
              <w:t xml:space="preserve"> Подготовка спортивного резерва, организация спортивной подготовки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4222,2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12666,6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13982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Основное мероприятие 4. Федеральный проект «Спорт – норма жизни»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191EDE" w:rsidRPr="007031C2" w:rsidTr="007031C2">
        <w:tc>
          <w:tcPr>
            <w:tcW w:w="443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line="220" w:lineRule="atLeast"/>
              <w:ind w:firstLine="91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bCs/>
                <w:color w:val="000000"/>
                <w:sz w:val="23"/>
                <w:szCs w:val="23"/>
              </w:rPr>
              <w:t>4.1.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Отв. исполнитель - Комитет по культуре, спорту и молодежной политике; Участники - 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МБУ ДО  «ДЮСШ  «Богатырь»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3276,5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294,9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439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3000,0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525704">
        <w:trPr>
          <w:trHeight w:val="208"/>
        </w:trPr>
        <w:tc>
          <w:tcPr>
            <w:tcW w:w="4439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3000,0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4439" w:type="dxa"/>
            <w:gridSpan w:val="2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9276,5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834,9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Итого по мероприятию 4.  Федеральный проект «Спорт – норма жизни»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3276,5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294,9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C27831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30</w:t>
            </w:r>
            <w:r w:rsidR="00C27831">
              <w:rPr>
                <w:rFonts w:eastAsia="Calibri"/>
                <w:color w:val="000000"/>
                <w:sz w:val="23"/>
                <w:szCs w:val="23"/>
                <w:lang w:eastAsia="en-US"/>
              </w:rPr>
              <w:t>00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C27831"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C27831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30</w:t>
            </w:r>
            <w:r w:rsidR="00C27831">
              <w:rPr>
                <w:rFonts w:eastAsia="Calibri"/>
                <w:color w:val="000000"/>
                <w:sz w:val="23"/>
                <w:szCs w:val="23"/>
                <w:lang w:eastAsia="en-US"/>
              </w:rPr>
              <w:t>00</w:t>
            </w: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C27831"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270,0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9276,5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834,9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2021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8747,7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2981,6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2022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8496,1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ind w:firstLine="9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2023 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8496,1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2730,0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5766,1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  <w:tr w:rsidR="00191EDE" w:rsidRPr="007031C2" w:rsidTr="007031C2">
        <w:tc>
          <w:tcPr>
            <w:tcW w:w="7461" w:type="dxa"/>
            <w:gridSpan w:val="3"/>
            <w:vMerge/>
            <w:vAlign w:val="center"/>
            <w:hideMark/>
          </w:tcPr>
          <w:p w:rsidR="00191EDE" w:rsidRPr="007031C2" w:rsidRDefault="00191EDE" w:rsidP="00191EDE">
            <w:pPr>
              <w:jc w:val="left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2021-2023</w:t>
            </w:r>
          </w:p>
        </w:tc>
        <w:tc>
          <w:tcPr>
            <w:tcW w:w="11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25739,9</w:t>
            </w:r>
          </w:p>
        </w:tc>
        <w:tc>
          <w:tcPr>
            <w:tcW w:w="132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8441,6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17298,3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EDE" w:rsidRPr="007031C2" w:rsidRDefault="00191EDE" w:rsidP="00191ED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7031C2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0,0</w:t>
            </w:r>
          </w:p>
        </w:tc>
      </w:tr>
    </w:tbl>
    <w:p w:rsidR="00191EDE" w:rsidRPr="007031C2" w:rsidRDefault="007031C2" w:rsidP="007031C2">
      <w:pPr>
        <w:tabs>
          <w:tab w:val="left" w:pos="5025"/>
        </w:tabs>
        <w:jc w:val="center"/>
        <w:rPr>
          <w:sz w:val="23"/>
          <w:szCs w:val="23"/>
        </w:rPr>
      </w:pPr>
      <w:r>
        <w:rPr>
          <w:sz w:val="23"/>
          <w:szCs w:val="23"/>
        </w:rPr>
        <w:t>______________</w:t>
      </w:r>
    </w:p>
    <w:sectPr w:rsidR="00191EDE" w:rsidRPr="007031C2" w:rsidSect="00191EDE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A7" w:rsidRDefault="00DC3AA7" w:rsidP="008D5236">
      <w:r>
        <w:separator/>
      </w:r>
    </w:p>
  </w:endnote>
  <w:endnote w:type="continuationSeparator" w:id="0">
    <w:p w:rsidR="00DC3AA7" w:rsidRDefault="00DC3AA7" w:rsidP="008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A7" w:rsidRDefault="00DC3AA7" w:rsidP="008D5236">
      <w:r>
        <w:separator/>
      </w:r>
    </w:p>
  </w:footnote>
  <w:footnote w:type="continuationSeparator" w:id="0">
    <w:p w:rsidR="00DC3AA7" w:rsidRDefault="00DC3AA7" w:rsidP="008D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31" w:rsidRDefault="00C2783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B758A">
      <w:rPr>
        <w:noProof/>
      </w:rPr>
      <w:t>2</w:t>
    </w:r>
    <w:r>
      <w:fldChar w:fldCharType="end"/>
    </w:r>
  </w:p>
  <w:p w:rsidR="00C27831" w:rsidRDefault="00C27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D3D16"/>
    <w:multiLevelType w:val="hybridMultilevel"/>
    <w:tmpl w:val="EC9E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5AA8"/>
    <w:multiLevelType w:val="multilevel"/>
    <w:tmpl w:val="4A3C2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0FB"/>
    <w:rsid w:val="000F1A02"/>
    <w:rsid w:val="00137667"/>
    <w:rsid w:val="001464B2"/>
    <w:rsid w:val="00191EDE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5704"/>
    <w:rsid w:val="00554BEC"/>
    <w:rsid w:val="00595F6F"/>
    <w:rsid w:val="005C0140"/>
    <w:rsid w:val="005D3AC6"/>
    <w:rsid w:val="006415B0"/>
    <w:rsid w:val="006463D8"/>
    <w:rsid w:val="007031C2"/>
    <w:rsid w:val="00711921"/>
    <w:rsid w:val="00796BD1"/>
    <w:rsid w:val="00886CC5"/>
    <w:rsid w:val="008A3858"/>
    <w:rsid w:val="008D5236"/>
    <w:rsid w:val="009840BA"/>
    <w:rsid w:val="00A03876"/>
    <w:rsid w:val="00A13C7B"/>
    <w:rsid w:val="00AE1A2A"/>
    <w:rsid w:val="00B52D22"/>
    <w:rsid w:val="00B83D8D"/>
    <w:rsid w:val="00B95FEE"/>
    <w:rsid w:val="00BB758A"/>
    <w:rsid w:val="00BF2B0B"/>
    <w:rsid w:val="00C27831"/>
    <w:rsid w:val="00C70BE7"/>
    <w:rsid w:val="00D368DC"/>
    <w:rsid w:val="00D97342"/>
    <w:rsid w:val="00DC3AA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F879D"/>
  <w15:chartTrackingRefBased/>
  <w15:docId w15:val="{761C9E67-306C-4181-B79C-4CA06E63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91E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1EDE"/>
    <w:rPr>
      <w:sz w:val="28"/>
    </w:rPr>
  </w:style>
  <w:style w:type="paragraph" w:styleId="ae">
    <w:name w:val="footer"/>
    <w:basedOn w:val="a"/>
    <w:link w:val="af"/>
    <w:rsid w:val="00191E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91EDE"/>
    <w:rPr>
      <w:sz w:val="28"/>
    </w:rPr>
  </w:style>
  <w:style w:type="paragraph" w:customStyle="1" w:styleId="ConsPlusNormal">
    <w:name w:val="ConsPlusNormal"/>
    <w:rsid w:val="00191E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Без интервала1"/>
    <w:rsid w:val="00191EDE"/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91EDE"/>
    <w:pPr>
      <w:ind w:left="720"/>
      <w:contextualSpacing/>
    </w:pPr>
  </w:style>
  <w:style w:type="character" w:customStyle="1" w:styleId="10">
    <w:name w:val="Заголовок 1 Знак"/>
    <w:link w:val="1"/>
    <w:rsid w:val="00191EDE"/>
    <w:rPr>
      <w:b/>
      <w:sz w:val="24"/>
    </w:rPr>
  </w:style>
  <w:style w:type="character" w:customStyle="1" w:styleId="20">
    <w:name w:val="Заголовок 2 Знак"/>
    <w:link w:val="2"/>
    <w:rsid w:val="00191EDE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191EDE"/>
    <w:rPr>
      <w:b/>
      <w:sz w:val="22"/>
    </w:rPr>
  </w:style>
  <w:style w:type="paragraph" w:customStyle="1" w:styleId="msonormal0">
    <w:name w:val="msonormal"/>
    <w:basedOn w:val="a"/>
    <w:rsid w:val="00191ED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191EDE"/>
    <w:rPr>
      <w:sz w:val="24"/>
    </w:rPr>
  </w:style>
  <w:style w:type="character" w:customStyle="1" w:styleId="a8">
    <w:name w:val="Основной текст с отступом Знак"/>
    <w:link w:val="a7"/>
    <w:rsid w:val="00191EDE"/>
    <w:rPr>
      <w:sz w:val="24"/>
    </w:rPr>
  </w:style>
  <w:style w:type="character" w:customStyle="1" w:styleId="22">
    <w:name w:val="Основной текст 2 Знак"/>
    <w:link w:val="21"/>
    <w:rsid w:val="00191EDE"/>
    <w:rPr>
      <w:sz w:val="24"/>
    </w:rPr>
  </w:style>
  <w:style w:type="character" w:customStyle="1" w:styleId="30">
    <w:name w:val="Основной текст 3 Знак"/>
    <w:link w:val="3"/>
    <w:rsid w:val="00191EDE"/>
    <w:rPr>
      <w:sz w:val="24"/>
    </w:rPr>
  </w:style>
  <w:style w:type="character" w:customStyle="1" w:styleId="24">
    <w:name w:val="Основной текст с отступом 2 Знак"/>
    <w:link w:val="23"/>
    <w:rsid w:val="00191EDE"/>
    <w:rPr>
      <w:sz w:val="24"/>
    </w:rPr>
  </w:style>
  <w:style w:type="character" w:customStyle="1" w:styleId="ab">
    <w:name w:val="Текст выноски Знак"/>
    <w:link w:val="aa"/>
    <w:semiHidden/>
    <w:rsid w:val="00191EDE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191EDE"/>
    <w:rPr>
      <w:color w:val="0000FF"/>
      <w:u w:val="single"/>
    </w:rPr>
  </w:style>
  <w:style w:type="character" w:styleId="af2">
    <w:name w:val="FollowedHyperlink"/>
    <w:uiPriority w:val="99"/>
    <w:unhideWhenUsed/>
    <w:rsid w:val="00191E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2021-02-17T09:16:00Z</cp:lastPrinted>
  <dcterms:created xsi:type="dcterms:W3CDTF">2021-02-10T06:19:00Z</dcterms:created>
  <dcterms:modified xsi:type="dcterms:W3CDTF">2021-02-17T09:17:00Z</dcterms:modified>
</cp:coreProperties>
</file>