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B43CCF">
        <w:t xml:space="preserve"> 01 августа</w:t>
      </w:r>
      <w:r w:rsidR="00680B71" w:rsidRPr="00F7592A">
        <w:t xml:space="preserve"> </w:t>
      </w:r>
      <w:r w:rsidR="006533DB">
        <w:t>2018</w:t>
      </w:r>
      <w:r w:rsidR="00930C9D" w:rsidRPr="00F7592A">
        <w:t xml:space="preserve"> года</w:t>
      </w:r>
      <w:r w:rsidRPr="00F7592A">
        <w:t xml:space="preserve">      № 06-</w:t>
      </w:r>
      <w:r w:rsidR="009C1462">
        <w:t>111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 xml:space="preserve">и утверждении </w:t>
      </w:r>
      <w:proofErr w:type="gramStart"/>
      <w:r w:rsidRPr="00F7592A">
        <w:t>норматива стоимости одного квадрат</w:t>
      </w:r>
      <w:r w:rsidR="00D56872" w:rsidRPr="00F7592A">
        <w:t>ного метра общей площади жилья</w:t>
      </w:r>
      <w:proofErr w:type="gramEnd"/>
      <w:r w:rsidR="00D56872" w:rsidRPr="00F7592A">
        <w:t xml:space="preserve">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7D3DA5">
        <w:rPr>
          <w:lang w:val="en-US"/>
        </w:rPr>
        <w:t>I</w:t>
      </w:r>
      <w:r w:rsidR="00B43CCF">
        <w:rPr>
          <w:lang w:val="en-US"/>
        </w:rPr>
        <w:t>I</w:t>
      </w:r>
      <w:r w:rsidR="006533DB">
        <w:t xml:space="preserve"> квартал 2018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7D3DA5">
        <w:t>жилищно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B43CCF">
        <w:rPr>
          <w:color w:val="000000"/>
          <w:shd w:val="clear" w:color="auto" w:fill="FFFFFF"/>
        </w:rPr>
        <w:t>от 04 июля</w:t>
      </w:r>
      <w:r w:rsidR="007D3DA5">
        <w:rPr>
          <w:color w:val="000000"/>
          <w:shd w:val="clear" w:color="auto" w:fill="FFFFFF"/>
        </w:rPr>
        <w:t xml:space="preserve"> 2018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B43CCF">
        <w:rPr>
          <w:color w:val="000000"/>
          <w:shd w:val="clear" w:color="auto" w:fill="FFFFFF"/>
        </w:rPr>
        <w:t xml:space="preserve"> № 387</w:t>
      </w:r>
      <w:r w:rsidR="00AF66A0" w:rsidRPr="00F7592A">
        <w:rPr>
          <w:color w:val="000000"/>
          <w:shd w:val="clear" w:color="auto" w:fill="FFFFFF"/>
        </w:rPr>
        <w:t>/</w:t>
      </w:r>
      <w:proofErr w:type="gramStart"/>
      <w:r w:rsidR="00AF66A0" w:rsidRPr="00F7592A">
        <w:rPr>
          <w:color w:val="000000"/>
          <w:shd w:val="clear" w:color="auto" w:fill="FFFFFF"/>
        </w:rPr>
        <w:t>пр</w:t>
      </w:r>
      <w:proofErr w:type="gramEnd"/>
      <w:r w:rsidR="00D82680" w:rsidRPr="00F7592A">
        <w:t xml:space="preserve"> «О</w:t>
      </w:r>
      <w:r w:rsidR="00B43CCF">
        <w:t xml:space="preserve"> нормативе стоимости одного квадратного метра общей площади жилого помещения по Российской Федерации на второе полугодие </w:t>
      </w:r>
      <w:proofErr w:type="gramStart"/>
      <w:r w:rsidR="00B43CCF">
        <w:t xml:space="preserve">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43CCF">
        <w:rPr>
          <w:lang w:val="en-US"/>
        </w:rPr>
        <w:t>III</w:t>
      </w:r>
      <w:r w:rsidR="00B43CCF" w:rsidRPr="00B43CCF">
        <w:t xml:space="preserve"> </w:t>
      </w:r>
      <w:r w:rsidR="00B43CCF">
        <w:t>квартал 2018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</w:t>
      </w:r>
      <w:proofErr w:type="gramEnd"/>
      <w:r w:rsidR="00D82680" w:rsidRPr="00F7592A">
        <w:t xml:space="preserve"> </w:t>
      </w:r>
      <w:proofErr w:type="gramStart"/>
      <w:r w:rsidR="00D82680" w:rsidRPr="00F7592A">
        <w:t>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</w:t>
      </w:r>
      <w:proofErr w:type="gramEnd"/>
      <w:r w:rsidR="00D82680" w:rsidRPr="00F7592A">
        <w:t xml:space="preserve"> </w:t>
      </w:r>
      <w:proofErr w:type="gramStart"/>
      <w:r w:rsidR="00D82680" w:rsidRPr="00F7592A">
        <w:t>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  <w:proofErr w:type="gramEnd"/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C16797" w:rsidRPr="00F7592A" w:rsidRDefault="00C16797" w:rsidP="00F16C52">
      <w:pPr>
        <w:ind w:firstLine="720"/>
        <w:jc w:val="both"/>
      </w:pPr>
      <w:r w:rsidRPr="00F7592A">
        <w:t>1. Установить стоимость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поселение Тихвинского муниципального района Л</w:t>
      </w:r>
      <w:r w:rsidR="00D518ED" w:rsidRPr="00F7592A">
        <w:t>енинг</w:t>
      </w:r>
      <w:r w:rsidR="0003496E">
        <w:t xml:space="preserve">радской области в размере </w:t>
      </w:r>
      <w:r w:rsidR="001371B9">
        <w:t>27793</w:t>
      </w:r>
      <w:r w:rsidR="00960474" w:rsidRPr="00F7592A">
        <w:t xml:space="preserve"> </w:t>
      </w:r>
      <w:r w:rsidR="00F05E47">
        <w:t>(</w:t>
      </w:r>
      <w:r w:rsidR="001371B9">
        <w:t>двадцать семь</w:t>
      </w:r>
      <w:r w:rsidR="001371B9" w:rsidRPr="00F7592A">
        <w:t xml:space="preserve"> тысяч</w:t>
      </w:r>
      <w:r w:rsidR="001371B9">
        <w:t xml:space="preserve"> семьсот девяносто три</w:t>
      </w:r>
      <w:r w:rsidR="00F16C52" w:rsidRPr="00F7592A">
        <w:t xml:space="preserve">) </w:t>
      </w:r>
      <w:r w:rsidR="001371B9">
        <w:t>рубля</w:t>
      </w:r>
      <w:r w:rsidR="00F16C52">
        <w:t xml:space="preserve">, </w:t>
      </w:r>
      <w:r w:rsidRPr="00F7592A">
        <w:t>согласно приложению.</w:t>
      </w:r>
    </w:p>
    <w:p w:rsidR="009A48DE" w:rsidRPr="00F7592A" w:rsidRDefault="00C16797" w:rsidP="009A48DE">
      <w:pPr>
        <w:ind w:firstLine="720"/>
        <w:jc w:val="both"/>
      </w:pPr>
      <w:r w:rsidRPr="00F7592A">
        <w:t>2. Утвердить норматив стоимости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</w:t>
      </w:r>
      <w:r w:rsidRPr="00F7592A">
        <w:lastRenderedPageBreak/>
        <w:t xml:space="preserve">поселение Тихвинского муниципального района Ленинградской </w:t>
      </w:r>
      <w:r w:rsidR="009A48DE">
        <w:t>об</w:t>
      </w:r>
      <w:r w:rsidR="007D3DA5">
        <w:t xml:space="preserve">ласти </w:t>
      </w:r>
      <w:r w:rsidR="001371B9">
        <w:t>27793</w:t>
      </w:r>
      <w:r w:rsidR="009A48DE" w:rsidRPr="00F7592A">
        <w:t xml:space="preserve"> </w:t>
      </w:r>
      <w:r w:rsidR="001371B9">
        <w:t>(двадцать семь</w:t>
      </w:r>
      <w:r w:rsidR="009A48DE" w:rsidRPr="00F7592A">
        <w:t xml:space="preserve"> тысяч</w:t>
      </w:r>
      <w:r w:rsidR="001371B9">
        <w:t xml:space="preserve"> семьсот девяносто три</w:t>
      </w:r>
      <w:proofErr w:type="gramStart"/>
      <w:r w:rsidR="00F05E47">
        <w:t xml:space="preserve"> </w:t>
      </w:r>
      <w:r w:rsidR="009A48DE" w:rsidRPr="00F7592A">
        <w:t>)</w:t>
      </w:r>
      <w:proofErr w:type="gramEnd"/>
      <w:r w:rsidR="009A48DE" w:rsidRPr="00F7592A">
        <w:t xml:space="preserve"> </w:t>
      </w:r>
      <w:r w:rsidR="001371B9">
        <w:t>рубля</w:t>
      </w:r>
      <w:r w:rsidR="009A48DE">
        <w:t xml:space="preserve">, </w:t>
      </w:r>
      <w:r w:rsidR="009A48DE" w:rsidRPr="00F7592A">
        <w:t>согласно приложению.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 xml:space="preserve">4. Постановление вступает в силу </w:t>
      </w:r>
      <w:proofErr w:type="gramStart"/>
      <w:r w:rsidRPr="00F7592A">
        <w:t>с даты</w:t>
      </w:r>
      <w:proofErr w:type="gramEnd"/>
      <w:r w:rsidRPr="00F7592A">
        <w:t xml:space="preserve">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48DE" w:rsidP="00750EC7">
      <w:r>
        <w:t xml:space="preserve">Глава администрации </w:t>
      </w:r>
      <w:r>
        <w:tab/>
      </w:r>
      <w:r>
        <w:tab/>
      </w:r>
      <w:r>
        <w:tab/>
        <w:t>М.А. Степанов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B43CCF">
        <w:t>01 августа</w:t>
      </w:r>
      <w:r w:rsidR="006533DB">
        <w:t xml:space="preserve"> 2018</w:t>
      </w:r>
      <w:r w:rsidR="00AF66A0">
        <w:t xml:space="preserve"> года № 06-</w:t>
      </w:r>
      <w:r w:rsidR="009C1462">
        <w:t>111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</w:t>
      </w:r>
      <w:proofErr w:type="gramStart"/>
      <w:r w:rsidRPr="00834A62">
        <w:t>определения стоимости одного квадра</w:t>
      </w:r>
      <w:r w:rsidR="006533DB">
        <w:t>тного метра общей площади жилого помещения</w:t>
      </w:r>
      <w:proofErr w:type="gramEnd"/>
      <w:r w:rsidR="006533DB">
        <w:t xml:space="preserve">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7D3DA5">
        <w:rPr>
          <w:lang w:val="en-US"/>
        </w:rPr>
        <w:t>I</w:t>
      </w:r>
      <w:r w:rsidR="009C1462">
        <w:rPr>
          <w:lang w:val="en-US"/>
        </w:rPr>
        <w:t>I</w:t>
      </w:r>
      <w:r w:rsidR="006533DB">
        <w:t xml:space="preserve"> квартал 2018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 xml:space="preserve">№ </w:t>
            </w:r>
            <w:proofErr w:type="gramStart"/>
            <w:r w:rsidRPr="00834A62">
              <w:rPr>
                <w:b/>
              </w:rPr>
              <w:t>п</w:t>
            </w:r>
            <w:proofErr w:type="gramEnd"/>
            <w:r w:rsidRPr="00834A62">
              <w:rPr>
                <w:b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B43CCF" w:rsidP="00D740E2">
            <w:r>
              <w:t>26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7D3DA5" w:rsidP="00D740E2">
            <w:r>
              <w:t>18</w:t>
            </w:r>
            <w:r w:rsidR="00B04ABA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B43CCF" w:rsidP="00D740E2">
            <w:r>
              <w:t>23 0</w:t>
            </w:r>
            <w:r w:rsidR="005D354C">
              <w:t xml:space="preserve">00 </w:t>
            </w:r>
            <w:r w:rsidR="00930C9D" w:rsidRPr="00834A62">
              <w:t>руб.</w:t>
            </w:r>
          </w:p>
        </w:tc>
      </w:tr>
      <w:tr w:rsidR="005D354C" w:rsidRPr="00834A62" w:rsidTr="00A52A30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7064B1" w:rsidP="00D740E2">
            <w:r>
              <w:t>ООО «ТАЛАН</w:t>
            </w:r>
            <w:r w:rsidR="00B04ABA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A5" w:rsidRDefault="007D3DA5" w:rsidP="00D740E2">
            <w:r>
              <w:t>24</w:t>
            </w:r>
            <w:r w:rsidR="00B04ABA">
              <w:t xml:space="preserve"> </w:t>
            </w:r>
            <w:r w:rsidR="005D354C">
              <w:t>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proofErr w:type="gramStart"/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  <w:proofErr w:type="gramEnd"/>
          </w:p>
          <w:p w:rsidR="00930C9D" w:rsidRPr="00834A62" w:rsidRDefault="007D3DA5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r w:rsidR="00B43CCF">
              <w:rPr>
                <w:b/>
              </w:rPr>
              <w:t xml:space="preserve">кред = </w:t>
            </w:r>
            <w:proofErr w:type="gramStart"/>
            <w:r w:rsidR="00B43CCF">
              <w:rPr>
                <w:b/>
              </w:rPr>
              <w:t xml:space="preserve">( </w:t>
            </w:r>
            <w:proofErr w:type="gramEnd"/>
            <w:r w:rsidR="00B43CCF">
              <w:rPr>
                <w:b/>
              </w:rPr>
              <w:t>26 000+18 000 +230</w:t>
            </w:r>
            <w:r>
              <w:rPr>
                <w:b/>
              </w:rPr>
              <w:t>00+24000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="00A24A38">
              <w:rPr>
                <w:b/>
              </w:rPr>
              <w:t>=</w:t>
            </w:r>
            <w:r w:rsidR="00B43CCF">
              <w:rPr>
                <w:b/>
              </w:rPr>
              <w:t xml:space="preserve"> 22750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A52A30" w:rsidP="00D740E2">
            <w: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gramStart"/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  <w:proofErr w:type="gramEnd"/>
          </w:p>
          <w:p w:rsidR="00930C9D" w:rsidRPr="00AF66A0" w:rsidRDefault="00E7026B" w:rsidP="00D740E2"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_дог= </w:t>
            </w:r>
            <w:r w:rsidR="00A52A30">
              <w:rPr>
                <w:b/>
              </w:rP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gramStart"/>
            <w:r w:rsidRPr="00834A62">
              <w:t>СТ</w:t>
            </w:r>
            <w:proofErr w:type="gramEnd"/>
            <w:r w:rsidRPr="00834A62">
              <w:t xml:space="preserve">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proofErr w:type="gramStart"/>
            <w:r w:rsidRPr="00834A62">
              <w:rPr>
                <w:b/>
              </w:rPr>
              <w:t>СТ</w:t>
            </w:r>
            <w:proofErr w:type="gramEnd"/>
            <w:r w:rsidRPr="00834A62">
              <w:rPr>
                <w:b/>
              </w:rPr>
              <w:t>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4A62">
              <w:t>Ср</w:t>
            </w:r>
            <w:proofErr w:type="gramEnd"/>
            <w:r w:rsidRPr="00834A62">
              <w:t>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34A62">
              <w:t>Ст</w:t>
            </w:r>
            <w:proofErr w:type="gramEnd"/>
            <w:r w:rsidRPr="00834A62">
              <w:t xml:space="preserve">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Pr="00A52A30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52A30">
        <w:rPr>
          <w:rFonts w:ascii="Times New Roman" w:hAnsi="Times New Roman" w:cs="Times New Roman"/>
          <w:sz w:val="24"/>
          <w:szCs w:val="24"/>
          <w:u w:val="single"/>
        </w:rPr>
        <w:t>Ср</w:t>
      </w:r>
      <w:proofErr w:type="gramEnd"/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3CCF">
        <w:rPr>
          <w:rFonts w:ascii="Times New Roman" w:hAnsi="Times New Roman" w:cs="Times New Roman"/>
          <w:sz w:val="24"/>
          <w:szCs w:val="24"/>
          <w:u w:val="single"/>
        </w:rPr>
        <w:t>22750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F05E47">
        <w:rPr>
          <w:rFonts w:ascii="Times New Roman" w:hAnsi="Times New Roman" w:cs="Times New Roman"/>
          <w:sz w:val="24"/>
          <w:szCs w:val="24"/>
          <w:u w:val="single"/>
        </w:rPr>
        <w:t>+ 37250</w:t>
      </w:r>
      <w:r w:rsidR="00960474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*0,92 </w:t>
      </w:r>
      <w:r w:rsidR="00B43CCF">
        <w:rPr>
          <w:rFonts w:ascii="Times New Roman" w:hAnsi="Times New Roman" w:cs="Times New Roman"/>
          <w:sz w:val="24"/>
          <w:szCs w:val="24"/>
          <w:u w:val="single"/>
        </w:rPr>
        <w:t xml:space="preserve">= </w:t>
      </w:r>
      <w:r w:rsidR="001371B9">
        <w:rPr>
          <w:rFonts w:ascii="Times New Roman" w:hAnsi="Times New Roman" w:cs="Times New Roman"/>
          <w:sz w:val="24"/>
          <w:szCs w:val="24"/>
          <w:u w:val="single"/>
        </w:rPr>
        <w:t xml:space="preserve">27600 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</w:t>
      </w:r>
      <w:proofErr w:type="gramStart"/>
      <w:r w:rsidRPr="00834A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  <w:proofErr w:type="gramEnd"/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</w:t>
      </w:r>
      <w:proofErr w:type="gramStart"/>
      <w:r w:rsidR="00EA1124">
        <w:t>ст</w:t>
      </w:r>
      <w:proofErr w:type="gramEnd"/>
      <w:r w:rsidR="00EA1124">
        <w:t xml:space="preserve">_кв. </w:t>
      </w:r>
      <w:r w:rsidR="007064B1">
        <w:t xml:space="preserve">м = </w:t>
      </w:r>
      <w:r w:rsidR="001371B9">
        <w:t>27600</w:t>
      </w:r>
      <w:r w:rsidR="007D2B2E">
        <w:rPr>
          <w:b/>
        </w:rPr>
        <w:t xml:space="preserve"> </w:t>
      </w:r>
      <w:r w:rsidR="008A27C8">
        <w:t xml:space="preserve">х </w:t>
      </w:r>
      <w:r w:rsidR="001371B9">
        <w:t>1,007</w:t>
      </w:r>
      <w:r w:rsidRPr="00834A62">
        <w:t xml:space="preserve"> = </w:t>
      </w:r>
      <w:r w:rsidR="001371B9">
        <w:t>27793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10" w:rsidRDefault="004A4A10" w:rsidP="00E60278">
      <w:r>
        <w:separator/>
      </w:r>
    </w:p>
  </w:endnote>
  <w:endnote w:type="continuationSeparator" w:id="0">
    <w:p w:rsidR="004A4A10" w:rsidRDefault="004A4A10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0CED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10" w:rsidRDefault="004A4A10" w:rsidP="00E60278">
      <w:r>
        <w:separator/>
      </w:r>
    </w:p>
  </w:footnote>
  <w:footnote w:type="continuationSeparator" w:id="0">
    <w:p w:rsidR="004A4A10" w:rsidRDefault="004A4A10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496E"/>
    <w:rsid w:val="000350E3"/>
    <w:rsid w:val="000501EF"/>
    <w:rsid w:val="000B00E1"/>
    <w:rsid w:val="000E6431"/>
    <w:rsid w:val="000F1F3A"/>
    <w:rsid w:val="000F447F"/>
    <w:rsid w:val="0011606F"/>
    <w:rsid w:val="00121C25"/>
    <w:rsid w:val="001230D1"/>
    <w:rsid w:val="00132A5D"/>
    <w:rsid w:val="001371B9"/>
    <w:rsid w:val="00193C1D"/>
    <w:rsid w:val="0019408D"/>
    <w:rsid w:val="001A7D14"/>
    <w:rsid w:val="001E0CED"/>
    <w:rsid w:val="001E38C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7F87"/>
    <w:rsid w:val="00491789"/>
    <w:rsid w:val="00492517"/>
    <w:rsid w:val="004972E2"/>
    <w:rsid w:val="004A4A10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4245"/>
    <w:rsid w:val="006B07FB"/>
    <w:rsid w:val="006B328E"/>
    <w:rsid w:val="006C685A"/>
    <w:rsid w:val="007064B1"/>
    <w:rsid w:val="007274E9"/>
    <w:rsid w:val="00750EC7"/>
    <w:rsid w:val="007759F8"/>
    <w:rsid w:val="007B4029"/>
    <w:rsid w:val="007C43EF"/>
    <w:rsid w:val="007D2B2E"/>
    <w:rsid w:val="007D3DA5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52540"/>
    <w:rsid w:val="00960474"/>
    <w:rsid w:val="00990FA0"/>
    <w:rsid w:val="009A48DE"/>
    <w:rsid w:val="009B6E50"/>
    <w:rsid w:val="009B741B"/>
    <w:rsid w:val="009C1462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43CCF"/>
    <w:rsid w:val="00B5448F"/>
    <w:rsid w:val="00B71291"/>
    <w:rsid w:val="00B81083"/>
    <w:rsid w:val="00B951D3"/>
    <w:rsid w:val="00B95607"/>
    <w:rsid w:val="00BC78EB"/>
    <w:rsid w:val="00BD78D6"/>
    <w:rsid w:val="00BE25FB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A15FA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05E47"/>
    <w:rsid w:val="00F16C52"/>
    <w:rsid w:val="00F43758"/>
    <w:rsid w:val="00F641EA"/>
    <w:rsid w:val="00F7592A"/>
    <w:rsid w:val="00FF144B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2017-07-28T11:11:00Z</cp:lastPrinted>
  <dcterms:created xsi:type="dcterms:W3CDTF">2018-08-01T08:43:00Z</dcterms:created>
  <dcterms:modified xsi:type="dcterms:W3CDTF">2018-08-01T08:43:00Z</dcterms:modified>
</cp:coreProperties>
</file>