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CF" w:rsidRPr="0020440D" w:rsidRDefault="00AE45CF" w:rsidP="00AE45CF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45CF" w:rsidRPr="0020440D" w:rsidRDefault="00AE45CF" w:rsidP="00AE45CF">
      <w:pPr>
        <w:widowControl w:val="0"/>
        <w:autoSpaceDE w:val="0"/>
        <w:autoSpaceDN w:val="0"/>
        <w:adjustRightInd w:val="0"/>
        <w:ind w:left="3828"/>
        <w:jc w:val="center"/>
      </w:pPr>
      <w:r w:rsidRPr="0020440D">
        <w:t>к заявке</w:t>
      </w:r>
      <w:r>
        <w:t xml:space="preserve"> муниципального образования</w:t>
      </w:r>
      <w:r>
        <w:rPr>
          <w:szCs w:val="28"/>
        </w:rPr>
        <w:t xml:space="preserve"> Коськовское сельское поселение Тихвинского муниципального района Ленинградской области</w:t>
      </w:r>
      <w:r w:rsidRPr="0020440D">
        <w:t xml:space="preserve"> на предоставление субсидии из областного бюджета Ленинградской области бюджету муниципального образования </w:t>
      </w:r>
      <w:r w:rsidRPr="0020440D">
        <w:rPr>
          <w:bCs/>
        </w:rPr>
        <w:t xml:space="preserve">на реализацию областного закона </w:t>
      </w:r>
      <w:r w:rsidRPr="0020440D"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20440D">
        <w:rPr>
          <w:bCs/>
        </w:rPr>
        <w:t>»</w:t>
      </w:r>
    </w:p>
    <w:p w:rsidR="00AE45CF" w:rsidRPr="0020440D" w:rsidRDefault="00AE45CF" w:rsidP="00AE45C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AE45CF" w:rsidRPr="0020440D" w:rsidRDefault="00AE45CF" w:rsidP="00AE45C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0440D">
        <w:rPr>
          <w:b/>
        </w:rPr>
        <w:t>ПАСПОРТ</w:t>
      </w:r>
    </w:p>
    <w:p w:rsidR="00AE45CF" w:rsidRPr="0020440D" w:rsidRDefault="00AE45CF" w:rsidP="00AE45C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0440D">
        <w:rPr>
          <w:b/>
        </w:rPr>
        <w:t xml:space="preserve">проекта, на реализацию которого претендует муниципальное образование </w:t>
      </w:r>
      <w:r w:rsidRPr="00C170B3">
        <w:rPr>
          <w:b/>
          <w:szCs w:val="28"/>
        </w:rPr>
        <w:t>Коськовское сельское поселение Тихвинского муниципального района Ленинградской области</w:t>
      </w:r>
      <w:r w:rsidRPr="0020440D">
        <w:rPr>
          <w:b/>
        </w:rPr>
        <w:t xml:space="preserve"> в рамках реализации </w:t>
      </w:r>
      <w:r w:rsidRPr="0020440D">
        <w:rPr>
          <w:b/>
          <w:bCs/>
        </w:rPr>
        <w:t xml:space="preserve">областного закона </w:t>
      </w:r>
      <w:r w:rsidRPr="0020440D">
        <w:rPr>
          <w:b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20440D">
        <w:rPr>
          <w:b/>
          <w:bCs/>
        </w:rPr>
        <w:t>»</w:t>
      </w:r>
    </w:p>
    <w:p w:rsidR="00AE45CF" w:rsidRPr="0020440D" w:rsidRDefault="00AE45CF" w:rsidP="00AE45C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440D">
              <w:rPr>
                <w:rFonts w:ascii="Times New Roman" w:hAnsi="Times New Roman"/>
                <w:b/>
                <w:sz w:val="24"/>
                <w:szCs w:val="24"/>
              </w:rPr>
              <w:t>1. Название проекта</w:t>
            </w:r>
          </w:p>
          <w:p w:rsidR="00AE45CF" w:rsidRPr="0020440D" w:rsidRDefault="00AE45CF" w:rsidP="005A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(название проекта в соответствии с протокол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ами 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или с участием 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старост, сметной документацией)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72426">
              <w:rPr>
                <w:rFonts w:eastAsia="Calibri"/>
              </w:rPr>
              <w:t>Приобретение и замена светильников уличного освещения с ДРЛ на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proofErr w:type="spellStart"/>
            <w:r>
              <w:rPr>
                <w:sz w:val="22"/>
              </w:rPr>
              <w:t>Исаково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Ваньково</w:t>
            </w:r>
            <w:proofErr w:type="spellEnd"/>
            <w:r>
              <w:rPr>
                <w:sz w:val="22"/>
              </w:rPr>
              <w:t xml:space="preserve">, Песчанка, Медвежий Двор, Харитоновщина, Тумово, </w:t>
            </w:r>
            <w:proofErr w:type="spellStart"/>
            <w:r>
              <w:rPr>
                <w:sz w:val="22"/>
              </w:rPr>
              <w:t>Коково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Сукса</w:t>
            </w:r>
            <w:proofErr w:type="spellEnd"/>
            <w:r>
              <w:rPr>
                <w:sz w:val="22"/>
              </w:rPr>
              <w:t xml:space="preserve">, Ратилово, </w:t>
            </w:r>
            <w:proofErr w:type="spellStart"/>
            <w:r>
              <w:rPr>
                <w:sz w:val="22"/>
              </w:rPr>
              <w:t>Снопово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Саньково</w:t>
            </w:r>
            <w:proofErr w:type="spellEnd"/>
            <w:r>
              <w:rPr>
                <w:sz w:val="22"/>
              </w:rPr>
              <w:t xml:space="preserve">, Сашково, </w:t>
            </w:r>
            <w:proofErr w:type="spellStart"/>
            <w:r>
              <w:rPr>
                <w:sz w:val="22"/>
              </w:rPr>
              <w:t>Ульянино</w:t>
            </w:r>
            <w:proofErr w:type="spellEnd"/>
            <w:r>
              <w:rPr>
                <w:sz w:val="22"/>
              </w:rPr>
              <w:t>, Красный Порог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rPr>
                <w:b/>
              </w:rPr>
            </w:pPr>
            <w:r w:rsidRPr="0020440D">
              <w:rPr>
                <w:b/>
              </w:rPr>
              <w:t xml:space="preserve">2. Место реализации проекта: </w:t>
            </w:r>
          </w:p>
          <w:p w:rsidR="00AE45CF" w:rsidRPr="0020440D" w:rsidRDefault="00AE45CF" w:rsidP="005A342F">
            <w:r w:rsidRPr="0020440D">
              <w:t xml:space="preserve">Наименование сельского населенного пункта, </w:t>
            </w:r>
            <w:r>
              <w:t>не являющегося административным центром,</w:t>
            </w:r>
          </w:p>
          <w:p w:rsidR="00AE45CF" w:rsidRPr="0020440D" w:rsidRDefault="00AE45CF" w:rsidP="005A342F">
            <w:r w:rsidRPr="0020440D">
              <w:t>адрес или описание местоположения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</w:rPr>
              <w:t>Деревни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Исаково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Ваньково</w:t>
            </w:r>
            <w:proofErr w:type="spellEnd"/>
            <w:r>
              <w:rPr>
                <w:sz w:val="22"/>
              </w:rPr>
              <w:t xml:space="preserve">, Песчанка, Медвежий Двор, Харитоновщина, Тумово, </w:t>
            </w:r>
            <w:proofErr w:type="spellStart"/>
            <w:r>
              <w:rPr>
                <w:sz w:val="22"/>
              </w:rPr>
              <w:t>Коково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Сукса</w:t>
            </w:r>
            <w:proofErr w:type="spellEnd"/>
            <w:r>
              <w:rPr>
                <w:sz w:val="22"/>
              </w:rPr>
              <w:t xml:space="preserve">, Ратилово, </w:t>
            </w:r>
            <w:proofErr w:type="spellStart"/>
            <w:r>
              <w:rPr>
                <w:sz w:val="22"/>
              </w:rPr>
              <w:t>Снопово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Саньково</w:t>
            </w:r>
            <w:proofErr w:type="spellEnd"/>
            <w:r>
              <w:rPr>
                <w:sz w:val="22"/>
              </w:rPr>
              <w:t xml:space="preserve">, Сашково, </w:t>
            </w:r>
            <w:proofErr w:type="spellStart"/>
            <w:r>
              <w:rPr>
                <w:sz w:val="22"/>
              </w:rPr>
              <w:t>Ульянино</w:t>
            </w:r>
            <w:proofErr w:type="spellEnd"/>
            <w:r>
              <w:rPr>
                <w:sz w:val="22"/>
              </w:rPr>
              <w:t>, Красный Порог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rPr>
                <w:b/>
              </w:rPr>
            </w:pPr>
            <w:r w:rsidRPr="0020440D">
              <w:rPr>
                <w:b/>
              </w:rPr>
              <w:t>3.Инициатор проекта:</w:t>
            </w:r>
          </w:p>
          <w:p w:rsidR="00AE45CF" w:rsidRPr="0020440D" w:rsidRDefault="00AE45CF" w:rsidP="005A342F">
            <w:r w:rsidRPr="0020440D">
              <w:t xml:space="preserve">(общественный совет (староста), </w:t>
            </w:r>
          </w:p>
          <w:p w:rsidR="00AE45CF" w:rsidRPr="0020440D" w:rsidRDefault="00AE45CF" w:rsidP="005A342F">
            <w:r w:rsidRPr="0020440D">
              <w:t>Ф.И.О. и телефон председателя)</w:t>
            </w:r>
          </w:p>
        </w:tc>
        <w:tc>
          <w:tcPr>
            <w:tcW w:w="4252" w:type="dxa"/>
            <w:shd w:val="clear" w:color="auto" w:fill="auto"/>
          </w:tcPr>
          <w:p w:rsidR="00AE45CF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Общественный совет</w:t>
            </w:r>
          </w:p>
          <w:p w:rsidR="00AE45CF" w:rsidRPr="00AE45CF" w:rsidRDefault="00AE45CF" w:rsidP="00AE45C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eastAsia="en-US"/>
              </w:rPr>
            </w:pPr>
            <w:r w:rsidRPr="00AE45CF">
              <w:rPr>
                <w:rFonts w:eastAsia="Times-Roman"/>
                <w:lang w:eastAsia="en-US"/>
              </w:rPr>
              <w:t>Крутикова Татьяна Ивановна 8(921)551-51-45</w:t>
            </w:r>
          </w:p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rPr>
                <w:b/>
              </w:rPr>
            </w:pPr>
            <w:r>
              <w:rPr>
                <w:b/>
              </w:rPr>
              <w:t>4</w:t>
            </w:r>
            <w:r w:rsidRPr="0020440D">
              <w:rPr>
                <w:b/>
              </w:rPr>
              <w:t>. Описание проекта: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>
              <w:t>4</w:t>
            </w:r>
            <w:r w:rsidRPr="0020440D">
              <w:t>.1.Типология проекта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rFonts w:eastAsia="Calibri"/>
                <w:i/>
              </w:rPr>
            </w:pPr>
            <w:r w:rsidRPr="0020440D">
              <w:rPr>
                <w:i/>
              </w:rPr>
              <w:t>(1) объекты жилищно-коммунального хозяйства</w:t>
            </w:r>
            <w:r w:rsidRPr="0020440D">
              <w:rPr>
                <w:rFonts w:eastAsia="Calibri"/>
              </w:rPr>
              <w:t xml:space="preserve"> </w:t>
            </w:r>
            <w:r w:rsidRPr="0020440D">
              <w:rPr>
                <w:rFonts w:eastAsia="Calibri"/>
                <w:i/>
              </w:rPr>
              <w:t>(электро-, тепло-, газо- и водоснабжения);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rFonts w:eastAsia="Calibri"/>
                <w:i/>
              </w:rPr>
              <w:t>(2)</w:t>
            </w:r>
            <w:r w:rsidRPr="0020440D">
              <w:rPr>
                <w:i/>
              </w:rPr>
              <w:t xml:space="preserve"> автомобильные дороги и сооружения на них;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(3) объекты для обеспечения первичных мер пожарной безопасности;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(4) объекты общественного питания, торговли и бытового обслуживания;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(5) объекты библиотечного обслуживания;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(6) объекты культуры;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(7) объекты физической культуры и спорта, детские площадки;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 xml:space="preserve"> (8)</w:t>
            </w:r>
            <w:r>
              <w:rPr>
                <w:i/>
              </w:rPr>
              <w:t xml:space="preserve"> </w:t>
            </w:r>
            <w:r w:rsidRPr="0020440D">
              <w:rPr>
                <w:i/>
              </w:rPr>
              <w:t>объекты, используемые для проведения общественных и культурно-массовых мероприятий;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rFonts w:eastAsia="Calibri"/>
                <w:i/>
              </w:rPr>
              <w:t xml:space="preserve"> (9)</w:t>
            </w:r>
            <w:r w:rsidRPr="0020440D">
              <w:rPr>
                <w:i/>
              </w:rPr>
              <w:t xml:space="preserve"> объекты благоустройства;</w:t>
            </w:r>
          </w:p>
          <w:p w:rsidR="00AE45CF" w:rsidRPr="0020440D" w:rsidRDefault="00AE45CF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lastRenderedPageBreak/>
              <w:t xml:space="preserve"> (10) места захоронения;</w:t>
            </w:r>
          </w:p>
          <w:p w:rsidR="00AE45CF" w:rsidRPr="0020440D" w:rsidRDefault="00AE45CF" w:rsidP="005A342F">
            <w:pPr>
              <w:ind w:firstLine="540"/>
              <w:jc w:val="both"/>
            </w:pPr>
            <w:r w:rsidRPr="0020440D">
              <w:rPr>
                <w:rFonts w:eastAsia="Calibri"/>
                <w:i/>
              </w:rPr>
              <w:t xml:space="preserve"> (11) другое….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>Объекты благоустройства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rPr>
                <w:b/>
              </w:rPr>
            </w:pPr>
            <w:r>
              <w:t>4</w:t>
            </w:r>
            <w:r w:rsidRPr="0020440D">
              <w:t>.2.Описание проблемы, на решение которой направлен проект: цели и задачи проекта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Низкая уличная освещенность населенных пунктов, удаленных от центральной усадьбы. Высокое потребление электроэнергии поселением, низкий класс энергоэффективности.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04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Ожидаемые результаты</w:t>
            </w:r>
          </w:p>
          <w:p w:rsidR="00AE45CF" w:rsidRPr="0020440D" w:rsidRDefault="00AE45CF" w:rsidP="005A34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40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(указывается прогноз влияния реализации проекта на ситуацию в данном сельского населенном пункте)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AE45C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Замена ламп ДРЛ на светодиодные увеличит площадь освещенности населенных пунктов Коськовского сельского поселения на которые распространяется проект, но в то же время увеличит энергоэфективность поселения, за счет снижения потребления </w:t>
            </w:r>
            <w:proofErr w:type="spellStart"/>
            <w:r>
              <w:t>эл.энергии</w:t>
            </w:r>
            <w:proofErr w:type="spellEnd"/>
            <w:r>
              <w:t>.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Pr="0020440D">
              <w:rPr>
                <w:b/>
              </w:rPr>
              <w:t>. Источники реализации проекта: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>.1. Общие расходы по проекту, руб.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F17D1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849320</w:t>
            </w:r>
            <w:r w:rsidR="00D90AE8">
              <w:t>,0</w:t>
            </w:r>
            <w:r w:rsidR="00AE45CF">
              <w:t>0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0440D">
              <w:t>в том числе за счет средств: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>.1.1. областного бюджета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B44040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813</w:t>
            </w:r>
            <w:r w:rsidR="00AF7D0D">
              <w:t> </w:t>
            </w:r>
            <w:r w:rsidR="00F17D17">
              <w:t>485</w:t>
            </w:r>
            <w:bookmarkStart w:id="0" w:name="_GoBack"/>
            <w:bookmarkEnd w:id="0"/>
            <w:r w:rsidR="00AF7D0D">
              <w:t>,00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 xml:space="preserve">.1.2. местного бюджета 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F17D1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35335</w:t>
            </w:r>
            <w:r w:rsidR="00D90AE8">
              <w:t>,0</w:t>
            </w:r>
            <w:r w:rsidR="00681F79">
              <w:t>0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>
              <w:t>5</w:t>
            </w:r>
            <w:r w:rsidRPr="0020440D">
              <w:t>.1.3. вклад граждан, юридических лиц (индивидуальных предпринимателей) в реализацию проекта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из них:</w:t>
            </w:r>
          </w:p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0440D">
              <w:rPr>
                <w:b/>
              </w:rPr>
              <w:t xml:space="preserve">вклад граждан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трудовое участие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pPr>
              <w:rPr>
                <w:b/>
              </w:rPr>
            </w:pPr>
            <w:r w:rsidRPr="0020440D">
              <w:rPr>
                <w:b/>
              </w:rPr>
              <w:t xml:space="preserve">вклад индивидуальных предпринимателей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681F79" w:rsidP="00681F79">
            <w:pPr>
              <w:jc w:val="center"/>
            </w:pPr>
            <w:r>
              <w:t>500,00</w:t>
            </w: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rPr>
                <w:b/>
              </w:rPr>
              <w:t xml:space="preserve">вклад юридических лиц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c>
          <w:tcPr>
            <w:tcW w:w="6062" w:type="dxa"/>
            <w:shd w:val="clear" w:color="auto" w:fill="auto"/>
          </w:tcPr>
          <w:p w:rsidR="00AE45CF" w:rsidRPr="0020440D" w:rsidRDefault="00AE45CF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AE45CF" w:rsidRPr="0020440D" w:rsidRDefault="00AE45CF" w:rsidP="005A342F">
            <w:pPr>
              <w:jc w:val="both"/>
            </w:pPr>
          </w:p>
        </w:tc>
      </w:tr>
    </w:tbl>
    <w:p w:rsidR="00AE45CF" w:rsidRPr="0020440D" w:rsidRDefault="00AE45CF" w:rsidP="00AE45CF">
      <w:pPr>
        <w:jc w:val="both"/>
        <w:rPr>
          <w:b/>
        </w:rPr>
      </w:pPr>
    </w:p>
    <w:p w:rsidR="00AE45CF" w:rsidRPr="0020440D" w:rsidRDefault="00AE45CF" w:rsidP="00AE45CF">
      <w:pPr>
        <w:jc w:val="both"/>
        <w:rPr>
          <w:b/>
        </w:rPr>
      </w:pPr>
      <w:r>
        <w:rPr>
          <w:b/>
        </w:rPr>
        <w:t>6</w:t>
      </w:r>
      <w:r w:rsidRPr="0020440D">
        <w:rPr>
          <w:b/>
        </w:rPr>
        <w:t>. Календарный план реализации мероприятий проекта</w:t>
      </w:r>
    </w:p>
    <w:p w:rsidR="00AE45CF" w:rsidRPr="0020440D" w:rsidRDefault="00AE45CF" w:rsidP="00AE45CF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086"/>
      </w:tblGrid>
      <w:tr w:rsidR="00AE45CF" w:rsidRPr="0020440D" w:rsidTr="005A342F">
        <w:trPr>
          <w:trHeight w:val="235"/>
          <w:tblHeader/>
        </w:trPr>
        <w:tc>
          <w:tcPr>
            <w:tcW w:w="2939" w:type="pct"/>
          </w:tcPr>
          <w:p w:rsidR="00AE45CF" w:rsidRPr="0020440D" w:rsidRDefault="00AE45CF" w:rsidP="005A342F">
            <w:pPr>
              <w:suppressAutoHyphens/>
              <w:jc w:val="center"/>
            </w:pPr>
            <w:r w:rsidRPr="0020440D">
              <w:t xml:space="preserve">Наименование мероприятия </w:t>
            </w:r>
          </w:p>
        </w:tc>
        <w:tc>
          <w:tcPr>
            <w:tcW w:w="2061" w:type="pct"/>
          </w:tcPr>
          <w:p w:rsidR="00AE45CF" w:rsidRPr="0020440D" w:rsidRDefault="00AE45CF" w:rsidP="005A342F">
            <w:pPr>
              <w:suppressAutoHyphens/>
              <w:jc w:val="center"/>
            </w:pPr>
            <w:r w:rsidRPr="0020440D">
              <w:t>Сроки реализации</w:t>
            </w: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E45CF" w:rsidP="005A342F">
            <w:pPr>
              <w:suppressAutoHyphens/>
              <w:jc w:val="both"/>
            </w:pPr>
            <w:r w:rsidRPr="0020440D">
              <w:t>Подготовительные работы: (проектные, изыскательские и др.)</w:t>
            </w:r>
          </w:p>
        </w:tc>
        <w:tc>
          <w:tcPr>
            <w:tcW w:w="2061" w:type="pct"/>
          </w:tcPr>
          <w:p w:rsidR="00AE45CF" w:rsidRPr="0020440D" w:rsidRDefault="00AE45CF" w:rsidP="005A342F">
            <w:pPr>
              <w:suppressAutoHyphens/>
              <w:jc w:val="both"/>
            </w:pP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C4AD3" w:rsidP="005A342F">
            <w:pPr>
              <w:suppressAutoHyphens/>
              <w:jc w:val="both"/>
            </w:pPr>
            <w:r>
              <w:t>Подготовка технического задания заключение договоров</w:t>
            </w:r>
          </w:p>
        </w:tc>
        <w:tc>
          <w:tcPr>
            <w:tcW w:w="2061" w:type="pct"/>
          </w:tcPr>
          <w:p w:rsidR="00AE45CF" w:rsidRPr="0020440D" w:rsidRDefault="00681F79" w:rsidP="005A342F">
            <w:pPr>
              <w:suppressAutoHyphens/>
              <w:jc w:val="both"/>
            </w:pPr>
            <w:r>
              <w:t>май-июнь 2019 года</w:t>
            </w: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E45CF" w:rsidP="005A342F">
            <w:pPr>
              <w:suppressAutoHyphens/>
              <w:jc w:val="both"/>
            </w:pPr>
            <w:r w:rsidRPr="0020440D">
              <w:t xml:space="preserve">Ремонтно-строительные работы: </w:t>
            </w:r>
          </w:p>
        </w:tc>
        <w:tc>
          <w:tcPr>
            <w:tcW w:w="2061" w:type="pct"/>
          </w:tcPr>
          <w:p w:rsidR="00AE45CF" w:rsidRPr="0020440D" w:rsidRDefault="00AE45CF" w:rsidP="005A342F">
            <w:pPr>
              <w:suppressAutoHyphens/>
              <w:jc w:val="both"/>
            </w:pP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E45CF" w:rsidP="005A342F">
            <w:pPr>
              <w:suppressAutoHyphens/>
              <w:jc w:val="both"/>
            </w:pPr>
          </w:p>
        </w:tc>
        <w:tc>
          <w:tcPr>
            <w:tcW w:w="2061" w:type="pct"/>
          </w:tcPr>
          <w:p w:rsidR="00AE45CF" w:rsidRPr="0020440D" w:rsidRDefault="00AE45CF" w:rsidP="005A342F">
            <w:pPr>
              <w:suppressAutoHyphens/>
              <w:jc w:val="both"/>
            </w:pP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E45CF" w:rsidP="005A342F">
            <w:pPr>
              <w:jc w:val="both"/>
            </w:pPr>
            <w:r w:rsidRPr="0020440D">
              <w:t xml:space="preserve">Приобретение оборудования: </w:t>
            </w:r>
          </w:p>
        </w:tc>
        <w:tc>
          <w:tcPr>
            <w:tcW w:w="2061" w:type="pct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C4AD3" w:rsidP="005A342F">
            <w:pPr>
              <w:jc w:val="both"/>
            </w:pPr>
            <w:r>
              <w:t>Приобретение фотоэлементов и светодиодных светильников</w:t>
            </w:r>
          </w:p>
        </w:tc>
        <w:tc>
          <w:tcPr>
            <w:tcW w:w="2061" w:type="pct"/>
          </w:tcPr>
          <w:p w:rsidR="00AE45CF" w:rsidRPr="0020440D" w:rsidRDefault="00AC4AD3" w:rsidP="005A342F">
            <w:pPr>
              <w:jc w:val="both"/>
            </w:pPr>
            <w:r>
              <w:t>июль –август 2019 года</w:t>
            </w: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E45CF" w:rsidP="005A342F">
            <w:pPr>
              <w:jc w:val="both"/>
            </w:pPr>
            <w:r w:rsidRPr="0020440D">
              <w:t>Прочая деятельность (указать):</w:t>
            </w:r>
          </w:p>
        </w:tc>
        <w:tc>
          <w:tcPr>
            <w:tcW w:w="2061" w:type="pct"/>
          </w:tcPr>
          <w:p w:rsidR="00AE45CF" w:rsidRPr="0020440D" w:rsidRDefault="00AE45CF" w:rsidP="005A342F">
            <w:pPr>
              <w:jc w:val="both"/>
            </w:pPr>
          </w:p>
        </w:tc>
      </w:tr>
      <w:tr w:rsidR="00AE45CF" w:rsidRPr="0020440D" w:rsidTr="005A342F">
        <w:trPr>
          <w:trHeight w:val="235"/>
        </w:trPr>
        <w:tc>
          <w:tcPr>
            <w:tcW w:w="2939" w:type="pct"/>
          </w:tcPr>
          <w:p w:rsidR="00AE45CF" w:rsidRPr="0020440D" w:rsidRDefault="00AC4AD3" w:rsidP="005A342F">
            <w:pPr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Замена светильников </w:t>
            </w:r>
            <w:r w:rsidRPr="00CC06E5">
              <w:rPr>
                <w:rFonts w:eastAsia="Calibri"/>
                <w:lang w:eastAsia="en-US"/>
              </w:rPr>
              <w:t>уличного освещения</w:t>
            </w:r>
            <w:r>
              <w:rPr>
                <w:rFonts w:eastAsia="Calibri"/>
                <w:lang w:eastAsia="en-US"/>
              </w:rPr>
              <w:t xml:space="preserve"> с ДРЛ на светодиодные с установкой фотоэлемента</w:t>
            </w:r>
          </w:p>
        </w:tc>
        <w:tc>
          <w:tcPr>
            <w:tcW w:w="2061" w:type="pct"/>
          </w:tcPr>
          <w:p w:rsidR="00AE45CF" w:rsidRPr="0020440D" w:rsidRDefault="00AC4AD3" w:rsidP="005A342F">
            <w:pPr>
              <w:jc w:val="both"/>
            </w:pPr>
            <w:r>
              <w:t>сентябрь-октябрь 2019 года</w:t>
            </w:r>
          </w:p>
        </w:tc>
      </w:tr>
    </w:tbl>
    <w:p w:rsidR="00AE45CF" w:rsidRPr="007F01B1" w:rsidRDefault="00AE45CF" w:rsidP="00AE45CF">
      <w:pPr>
        <w:suppressAutoHyphens/>
        <w:ind w:firstLine="709"/>
        <w:jc w:val="both"/>
        <w:rPr>
          <w:rFonts w:cs="Arial"/>
          <w:b/>
          <w:sz w:val="28"/>
          <w:szCs w:val="28"/>
        </w:rPr>
      </w:pPr>
    </w:p>
    <w:p w:rsidR="00AE45CF" w:rsidRPr="00A86CCF" w:rsidRDefault="00AE45CF" w:rsidP="00AE45CF">
      <w:pPr>
        <w:suppressAutoHyphens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A86CCF">
        <w:rPr>
          <w:rFonts w:cs="Arial"/>
          <w:b/>
        </w:rPr>
        <w:t>. Участники реализации проекта и благополучатели:</w:t>
      </w:r>
    </w:p>
    <w:p w:rsidR="00AE45CF" w:rsidRPr="00A86CCF" w:rsidRDefault="00AE45CF" w:rsidP="00AE45CF">
      <w:pPr>
        <w:suppressAutoHyphens/>
        <w:jc w:val="both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2020"/>
      </w:tblGrid>
      <w:tr w:rsidR="00AE45CF" w:rsidRPr="00A86CCF" w:rsidTr="005A342F">
        <w:tc>
          <w:tcPr>
            <w:tcW w:w="3981" w:type="pct"/>
          </w:tcPr>
          <w:p w:rsidR="00AE45CF" w:rsidRPr="00A86CCF" w:rsidRDefault="00AE45CF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 xml:space="preserve">Численность граждан, подтвердивших участие в реализации </w:t>
            </w:r>
            <w:r w:rsidR="00AC4AD3" w:rsidRPr="00A86CCF">
              <w:rPr>
                <w:rFonts w:cs="Arial"/>
              </w:rPr>
              <w:t>проекта (</w:t>
            </w:r>
            <w:r w:rsidRPr="00A86CCF">
              <w:rPr>
                <w:rFonts w:cs="Arial"/>
              </w:rPr>
              <w:t>трудовое, финансовое, материально-техническое участие</w:t>
            </w:r>
            <w:r w:rsidR="00AC4AD3" w:rsidRPr="00A86CCF">
              <w:rPr>
                <w:rFonts w:cs="Arial"/>
              </w:rPr>
              <w:t>), чел.</w:t>
            </w:r>
            <w:r w:rsidRPr="00A86CCF">
              <w:rPr>
                <w:rFonts w:cs="Arial"/>
              </w:rPr>
              <w:t xml:space="preserve"> </w:t>
            </w:r>
          </w:p>
        </w:tc>
        <w:tc>
          <w:tcPr>
            <w:tcW w:w="1019" w:type="pct"/>
          </w:tcPr>
          <w:p w:rsidR="00AE45CF" w:rsidRPr="00A86CCF" w:rsidRDefault="00AE45CF" w:rsidP="005A342F">
            <w:pPr>
              <w:suppressAutoHyphens/>
              <w:jc w:val="both"/>
              <w:rPr>
                <w:rFonts w:cs="Arial"/>
              </w:rPr>
            </w:pPr>
          </w:p>
        </w:tc>
      </w:tr>
      <w:tr w:rsidR="00AE45CF" w:rsidRPr="00A86CCF" w:rsidTr="005A342F">
        <w:tc>
          <w:tcPr>
            <w:tcW w:w="3981" w:type="pct"/>
          </w:tcPr>
          <w:p w:rsidR="00AE45CF" w:rsidRPr="00A86CCF" w:rsidRDefault="00AE45CF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 xml:space="preserve">       из них молодежь до 30 лет</w:t>
            </w:r>
          </w:p>
        </w:tc>
        <w:tc>
          <w:tcPr>
            <w:tcW w:w="1019" w:type="pct"/>
          </w:tcPr>
          <w:p w:rsidR="00AE45CF" w:rsidRPr="00A86CCF" w:rsidRDefault="00AE45CF" w:rsidP="005A342F">
            <w:pPr>
              <w:suppressAutoHyphens/>
              <w:jc w:val="both"/>
              <w:rPr>
                <w:rFonts w:cs="Arial"/>
              </w:rPr>
            </w:pPr>
          </w:p>
        </w:tc>
      </w:tr>
      <w:tr w:rsidR="00AE45CF" w:rsidRPr="00A86CCF" w:rsidTr="005A342F">
        <w:tc>
          <w:tcPr>
            <w:tcW w:w="3981" w:type="pct"/>
          </w:tcPr>
          <w:p w:rsidR="00AE45CF" w:rsidRPr="00A86CCF" w:rsidRDefault="00AE45CF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>Количество юридических лиц (индивидуальных предпринимателей), подтвердивших участие в реализации проекта (финансовое, материально-технического участие), ед. (</w:t>
            </w:r>
            <w:proofErr w:type="spellStart"/>
            <w:r w:rsidRPr="00A86CCF">
              <w:rPr>
                <w:rFonts w:cs="Arial"/>
              </w:rPr>
              <w:t>юр.л</w:t>
            </w:r>
            <w:proofErr w:type="spellEnd"/>
            <w:r w:rsidRPr="00A86CCF">
              <w:rPr>
                <w:rFonts w:cs="Arial"/>
              </w:rPr>
              <w:t>.) или ед. (</w:t>
            </w:r>
            <w:proofErr w:type="spellStart"/>
            <w:r w:rsidRPr="00A86CCF">
              <w:rPr>
                <w:rFonts w:cs="Arial"/>
              </w:rPr>
              <w:t>и.п</w:t>
            </w:r>
            <w:proofErr w:type="spellEnd"/>
            <w:r w:rsidRPr="00A86CCF">
              <w:rPr>
                <w:rFonts w:cs="Arial"/>
              </w:rPr>
              <w:t xml:space="preserve">.) </w:t>
            </w:r>
          </w:p>
        </w:tc>
        <w:tc>
          <w:tcPr>
            <w:tcW w:w="1019" w:type="pct"/>
          </w:tcPr>
          <w:p w:rsidR="00AE45CF" w:rsidRPr="00A86CCF" w:rsidRDefault="001710E2" w:rsidP="005A342F">
            <w:p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E45CF" w:rsidRPr="00A86CCF" w:rsidTr="005A342F">
        <w:tc>
          <w:tcPr>
            <w:tcW w:w="3981" w:type="pct"/>
          </w:tcPr>
          <w:p w:rsidR="00AE45CF" w:rsidRPr="00A86CCF" w:rsidRDefault="00AE45CF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>Количество человек, которые получат пользу, пользуясь результатами реализации проекта, чел.</w:t>
            </w:r>
          </w:p>
        </w:tc>
        <w:tc>
          <w:tcPr>
            <w:tcW w:w="1019" w:type="pct"/>
          </w:tcPr>
          <w:p w:rsidR="00AE45CF" w:rsidRPr="00A86CCF" w:rsidRDefault="00AC4AD3" w:rsidP="005A342F">
            <w:p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288</w:t>
            </w:r>
          </w:p>
        </w:tc>
      </w:tr>
    </w:tbl>
    <w:p w:rsidR="00AE45CF" w:rsidRDefault="00AE45CF" w:rsidP="00AE45CF"/>
    <w:p w:rsidR="00AE45CF" w:rsidRPr="00A86CCF" w:rsidRDefault="00AE45CF" w:rsidP="00AE45CF">
      <w:r w:rsidRPr="00A86CCF">
        <w:t>Исполнитель от администрации</w:t>
      </w:r>
    </w:p>
    <w:p w:rsidR="00AE45CF" w:rsidRPr="00A86CCF" w:rsidRDefault="00AE45CF" w:rsidP="001710E2">
      <w:r w:rsidRPr="00A86CCF">
        <w:t xml:space="preserve">муниципального образования      </w:t>
      </w:r>
      <w:r w:rsidR="00AC4AD3">
        <w:tab/>
        <w:t xml:space="preserve">                    Степанов Михаил Александрович</w:t>
      </w:r>
      <w:r w:rsidRPr="00A86CCF">
        <w:t xml:space="preserve"> </w:t>
      </w:r>
    </w:p>
    <w:p w:rsidR="00AE45CF" w:rsidRPr="00A86CCF" w:rsidRDefault="00AE45CF" w:rsidP="00AE45CF">
      <w:r w:rsidRPr="00A86CCF">
        <w:t xml:space="preserve">                                                            </w:t>
      </w:r>
      <w:r>
        <w:t xml:space="preserve">                   </w:t>
      </w:r>
      <w:r w:rsidRPr="00A86CCF">
        <w:t xml:space="preserve"> (Ф.И.О., контактный телефон) </w:t>
      </w:r>
    </w:p>
    <w:p w:rsidR="00AE45CF" w:rsidRPr="00A86CCF" w:rsidRDefault="001710E2" w:rsidP="001710E2">
      <w:pPr>
        <w:widowControl w:val="0"/>
        <w:autoSpaceDE w:val="0"/>
        <w:autoSpaceDN w:val="0"/>
        <w:adjustRightInd w:val="0"/>
        <w:ind w:left="5670"/>
        <w:outlineLvl w:val="0"/>
      </w:pPr>
      <w:r>
        <w:t>8(921)882-04-67</w:t>
      </w:r>
    </w:p>
    <w:p w:rsidR="00AE45CF" w:rsidRPr="00056DF0" w:rsidRDefault="00AE45CF" w:rsidP="00AE45CF">
      <w:pPr>
        <w:widowControl w:val="0"/>
        <w:autoSpaceDE w:val="0"/>
        <w:autoSpaceDN w:val="0"/>
        <w:adjustRightInd w:val="0"/>
        <w:outlineLvl w:val="0"/>
      </w:pPr>
      <w:r w:rsidRPr="00056DF0">
        <w:t>М.П.</w:t>
      </w:r>
    </w:p>
    <w:p w:rsidR="00AE45CF" w:rsidRPr="007F01B1" w:rsidRDefault="00AE45CF" w:rsidP="00AE45CF">
      <w:pPr>
        <w:pStyle w:val="ConsPlusNonformat"/>
        <w:ind w:right="-5494"/>
        <w:rPr>
          <w:rFonts w:ascii="Times New Roman" w:hAnsi="Times New Roman" w:cs="Times New Roman"/>
          <w:sz w:val="24"/>
          <w:szCs w:val="24"/>
        </w:rPr>
        <w:sectPr w:rsidR="00AE45CF" w:rsidRPr="007F01B1" w:rsidSect="0020440D">
          <w:pgSz w:w="11905" w:h="16838"/>
          <w:pgMar w:top="1134" w:right="848" w:bottom="1134" w:left="1134" w:header="720" w:footer="720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>«__» ______________ 20__ год</w:t>
      </w:r>
    </w:p>
    <w:p w:rsidR="00CB5760" w:rsidRPr="00AE45CF" w:rsidRDefault="00CB5760" w:rsidP="00AE45CF">
      <w:pPr>
        <w:tabs>
          <w:tab w:val="left" w:pos="4050"/>
        </w:tabs>
      </w:pPr>
    </w:p>
    <w:sectPr w:rsidR="00CB5760" w:rsidRPr="00AE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5"/>
    <w:rsid w:val="001710E2"/>
    <w:rsid w:val="0050370C"/>
    <w:rsid w:val="00681F79"/>
    <w:rsid w:val="008A3ED7"/>
    <w:rsid w:val="00AC4AD3"/>
    <w:rsid w:val="00AE45CF"/>
    <w:rsid w:val="00AF7D0D"/>
    <w:rsid w:val="00B44040"/>
    <w:rsid w:val="00B65D25"/>
    <w:rsid w:val="00CB5760"/>
    <w:rsid w:val="00D90AE8"/>
    <w:rsid w:val="00F1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61E6-B946-4FAA-B001-688D224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4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4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E4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2019-04-04T06:03:00Z</dcterms:created>
  <dcterms:modified xsi:type="dcterms:W3CDTF">2019-04-04T10:25:00Z</dcterms:modified>
</cp:coreProperties>
</file>