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646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060FC7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3C2142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78D165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A9E8AD3" w14:textId="77777777" w:rsidR="00B52D22" w:rsidRDefault="00B52D22">
      <w:pPr>
        <w:jc w:val="center"/>
        <w:rPr>
          <w:b/>
          <w:sz w:val="32"/>
        </w:rPr>
      </w:pPr>
    </w:p>
    <w:p w14:paraId="2F40B9A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11F6FB8" w14:textId="77777777" w:rsidR="00B52D22" w:rsidRDefault="00B52D22">
      <w:pPr>
        <w:jc w:val="center"/>
        <w:rPr>
          <w:sz w:val="10"/>
        </w:rPr>
      </w:pPr>
    </w:p>
    <w:p w14:paraId="0E0DD232" w14:textId="77777777" w:rsidR="00B52D22" w:rsidRDefault="00B52D22">
      <w:pPr>
        <w:jc w:val="center"/>
        <w:rPr>
          <w:sz w:val="10"/>
        </w:rPr>
      </w:pPr>
    </w:p>
    <w:p w14:paraId="43456E4D" w14:textId="77777777" w:rsidR="00B52D22" w:rsidRDefault="00B52D22">
      <w:pPr>
        <w:tabs>
          <w:tab w:val="left" w:pos="4962"/>
        </w:tabs>
        <w:rPr>
          <w:sz w:val="16"/>
        </w:rPr>
      </w:pPr>
    </w:p>
    <w:p w14:paraId="59A56B4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A11141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C3D01B6" w14:textId="50B469C8" w:rsidR="00B52D22" w:rsidRDefault="008B0A2F">
      <w:pPr>
        <w:tabs>
          <w:tab w:val="left" w:pos="567"/>
          <w:tab w:val="left" w:pos="3686"/>
        </w:tabs>
      </w:pPr>
      <w:r>
        <w:tab/>
        <w:t>12 сентября 2023 г.</w:t>
      </w:r>
      <w:r>
        <w:tab/>
        <w:t>01-2318-а</w:t>
      </w:r>
    </w:p>
    <w:p w14:paraId="0B777BE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1D9567E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B4EEF" w14:paraId="34E4B18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9D7BFC5" w14:textId="00483B4F" w:rsidR="008A3858" w:rsidRPr="006B4EEF" w:rsidRDefault="006B4EEF" w:rsidP="006B4EEF">
            <w:pPr>
              <w:suppressAutoHyphens/>
              <w:rPr>
                <w:bCs/>
                <w:sz w:val="24"/>
                <w:szCs w:val="24"/>
              </w:rPr>
            </w:pPr>
            <w:r w:rsidRPr="006B4EEF">
              <w:rPr>
                <w:bCs/>
                <w:sz w:val="24"/>
                <w:szCs w:val="24"/>
              </w:rPr>
              <w:t>О проведении повторного аукциона по продаже земельного участка с кадастровым номером 47:13:0913001:62, расположенного по адресу: 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4, в электронной форме</w:t>
            </w:r>
          </w:p>
        </w:tc>
      </w:tr>
      <w:tr w:rsidR="008B0A2F" w:rsidRPr="008B0A2F" w14:paraId="60ED76F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C1051A" w14:textId="3F89043F" w:rsidR="006B4EEF" w:rsidRPr="008B0A2F" w:rsidRDefault="006B4EEF" w:rsidP="006B4EEF">
            <w:pPr>
              <w:suppressAutoHyphens/>
              <w:rPr>
                <w:bCs/>
                <w:sz w:val="24"/>
                <w:szCs w:val="24"/>
              </w:rPr>
            </w:pPr>
            <w:r w:rsidRPr="008B0A2F">
              <w:rPr>
                <w:bCs/>
                <w:sz w:val="24"/>
                <w:szCs w:val="24"/>
              </w:rPr>
              <w:t>21,0800 ДО ИД 20800</w:t>
            </w:r>
          </w:p>
        </w:tc>
      </w:tr>
    </w:tbl>
    <w:p w14:paraId="447C358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562D53F" w14:textId="77777777" w:rsidR="006B4EEF" w:rsidRDefault="006B4EEF" w:rsidP="001A2440">
      <w:pPr>
        <w:ind w:right="-1" w:firstLine="709"/>
        <w:rPr>
          <w:sz w:val="22"/>
          <w:szCs w:val="22"/>
        </w:rPr>
      </w:pPr>
    </w:p>
    <w:p w14:paraId="4A5ABE5A" w14:textId="77777777" w:rsidR="006B4EEF" w:rsidRPr="006B4EEF" w:rsidRDefault="006B4EEF" w:rsidP="006B4EEF">
      <w:pPr>
        <w:ind w:firstLine="720"/>
        <w:rPr>
          <w:szCs w:val="28"/>
        </w:rPr>
      </w:pPr>
      <w:r w:rsidRPr="006B4EEF">
        <w:rPr>
          <w:szCs w:val="28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от 15 августа 2023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16456A06" w14:textId="33F4FC1F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6B4EEF">
        <w:rPr>
          <w:szCs w:val="28"/>
        </w:rPr>
        <w:t>Провести повторный аукцион по продаже земельного участка</w:t>
      </w:r>
      <w:r w:rsidRPr="006B4EEF">
        <w:rPr>
          <w:b/>
          <w:szCs w:val="28"/>
        </w:rPr>
        <w:t xml:space="preserve"> </w:t>
      </w:r>
      <w:r w:rsidRPr="006B4EEF">
        <w:rPr>
          <w:szCs w:val="28"/>
        </w:rPr>
        <w:t>с</w:t>
      </w:r>
      <w:r w:rsidRPr="006B4EEF">
        <w:rPr>
          <w:b/>
          <w:szCs w:val="28"/>
        </w:rPr>
        <w:t xml:space="preserve"> </w:t>
      </w:r>
      <w:r w:rsidRPr="006B4EEF">
        <w:rPr>
          <w:szCs w:val="28"/>
        </w:rPr>
        <w:t>кадастровым номером</w:t>
      </w:r>
      <w:r w:rsidRPr="006B4EEF">
        <w:rPr>
          <w:b/>
          <w:szCs w:val="28"/>
        </w:rPr>
        <w:t xml:space="preserve"> </w:t>
      </w:r>
      <w:r w:rsidRPr="006B4EEF">
        <w:rPr>
          <w:szCs w:val="28"/>
        </w:rPr>
        <w:t xml:space="preserve">47:13:0913001:62, из категории земель: земли населенных пунктов, видом разрешенного использования: для индивидуального жилищного строительства, площадью: 1121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деревня Лазаревичи, улица Танкистов, земельный участок 4, в электронной форме (далее – электронный аукцион). </w:t>
      </w:r>
    </w:p>
    <w:p w14:paraId="00012E2B" w14:textId="4CFBFC23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6B4EEF">
        <w:rPr>
          <w:szCs w:val="28"/>
        </w:rPr>
        <w:t xml:space="preserve">Начальную цену предмета повторного аукциона определить на двадцать процентов ниже начальной цены предмета предыдущего аукциона – </w:t>
      </w:r>
      <w:r w:rsidRPr="006B4EEF">
        <w:rPr>
          <w:b/>
          <w:szCs w:val="28"/>
        </w:rPr>
        <w:t>754 558 (Семьсот пятьдесят четыре тысячи пятьсот пятьдесят восемь) рублей 55 копеек.</w:t>
      </w:r>
    </w:p>
    <w:p w14:paraId="4854CDC2" w14:textId="7A049CC2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6B4EEF">
        <w:rPr>
          <w:szCs w:val="28"/>
        </w:rPr>
        <w:t xml:space="preserve">Установить размер задатка равный 20 процентам начальной цены предмета повторного аукциона – </w:t>
      </w:r>
      <w:r w:rsidRPr="006B4EEF">
        <w:rPr>
          <w:b/>
          <w:iCs/>
          <w:szCs w:val="28"/>
        </w:rPr>
        <w:t>150 911 (Сто пятьдесят тысяч девятьсот одиннадцать) руб</w:t>
      </w:r>
      <w:r w:rsidRPr="006B4EEF">
        <w:rPr>
          <w:b/>
          <w:szCs w:val="28"/>
        </w:rPr>
        <w:t>лей 71 копейка</w:t>
      </w:r>
      <w:r w:rsidRPr="006B4EEF">
        <w:rPr>
          <w:szCs w:val="28"/>
        </w:rPr>
        <w:t>.</w:t>
      </w:r>
    </w:p>
    <w:p w14:paraId="786676C6" w14:textId="1DFEBAB6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b/>
          <w:szCs w:val="28"/>
        </w:rPr>
      </w:pPr>
      <w:r w:rsidRPr="006B4EEF">
        <w:rPr>
          <w:szCs w:val="28"/>
        </w:rPr>
        <w:t xml:space="preserve">Установить величину повышения начальной цены предмета повторного аукциона ("шаг аукциона") в размере трех процентов начальной </w:t>
      </w:r>
      <w:r w:rsidRPr="006B4EEF">
        <w:rPr>
          <w:szCs w:val="28"/>
        </w:rPr>
        <w:lastRenderedPageBreak/>
        <w:t xml:space="preserve">цены предмета повторного аукциона – </w:t>
      </w:r>
      <w:r w:rsidRPr="006B4EEF">
        <w:rPr>
          <w:b/>
          <w:szCs w:val="28"/>
        </w:rPr>
        <w:t>22 636 (Двадцать две тысячи шестьсот тридцать шесть) рублей 75 копеек.</w:t>
      </w:r>
    </w:p>
    <w:p w14:paraId="0DE775D4" w14:textId="504D91E3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6B4EEF">
        <w:rPr>
          <w:szCs w:val="28"/>
        </w:rPr>
        <w:t>Утвердить аукционную документацию повторного электронного аукциона (Приложение).</w:t>
      </w:r>
    </w:p>
    <w:p w14:paraId="03A00F13" w14:textId="4AE28D07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B4EEF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6B4EEF">
        <w:rPr>
          <w:color w:val="000000"/>
          <w:szCs w:val="28"/>
        </w:rPr>
        <w:t xml:space="preserve">существить организационно-правовые мероприятия, связанные с проведением повторного </w:t>
      </w:r>
      <w:r w:rsidRPr="006B4EEF">
        <w:rPr>
          <w:szCs w:val="28"/>
        </w:rPr>
        <w:t>электронного аукциона</w:t>
      </w:r>
      <w:r w:rsidRPr="006B4EEF">
        <w:rPr>
          <w:color w:val="000000"/>
          <w:szCs w:val="28"/>
        </w:rPr>
        <w:t xml:space="preserve">, в порядке, предусмотренном статьями </w:t>
      </w:r>
      <w:r w:rsidRPr="006B4EEF">
        <w:rPr>
          <w:szCs w:val="28"/>
        </w:rPr>
        <w:t xml:space="preserve">39.11-39.13 </w:t>
      </w:r>
      <w:r w:rsidRPr="006B4EEF">
        <w:rPr>
          <w:color w:val="000000"/>
          <w:szCs w:val="28"/>
        </w:rPr>
        <w:t>Земельного кодекса Российской Федерации.</w:t>
      </w:r>
    </w:p>
    <w:p w14:paraId="2E6F0333" w14:textId="70491E08" w:rsidR="006B4EEF" w:rsidRPr="006B4EEF" w:rsidRDefault="006B4EEF" w:rsidP="006B4EEF">
      <w:pPr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6B4EEF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5AF2BC9F" w14:textId="77777777" w:rsidR="006B4EEF" w:rsidRDefault="006B4EEF" w:rsidP="006B4EEF">
      <w:pPr>
        <w:rPr>
          <w:color w:val="000000"/>
          <w:szCs w:val="28"/>
        </w:rPr>
      </w:pPr>
    </w:p>
    <w:p w14:paraId="4D497ACD" w14:textId="77777777" w:rsidR="006B4EEF" w:rsidRDefault="006B4EEF" w:rsidP="006B4EEF">
      <w:pPr>
        <w:rPr>
          <w:color w:val="000000"/>
          <w:szCs w:val="28"/>
        </w:rPr>
      </w:pPr>
    </w:p>
    <w:p w14:paraId="23EBC576" w14:textId="41E518B0" w:rsidR="006B4EEF" w:rsidRPr="006B4EEF" w:rsidRDefault="006B4EEF" w:rsidP="006B4EEF">
      <w:pPr>
        <w:rPr>
          <w:color w:val="000000"/>
          <w:szCs w:val="28"/>
        </w:rPr>
      </w:pPr>
      <w:r w:rsidRPr="006B4EEF">
        <w:rPr>
          <w:color w:val="000000"/>
          <w:szCs w:val="28"/>
        </w:rPr>
        <w:t>Глава администрации                                                                    Ю.А. Наумов</w:t>
      </w:r>
    </w:p>
    <w:p w14:paraId="2702FAD6" w14:textId="77777777" w:rsidR="006B4EEF" w:rsidRPr="006B4EEF" w:rsidRDefault="006B4EEF" w:rsidP="006B4EEF">
      <w:pPr>
        <w:rPr>
          <w:b/>
          <w:bCs/>
          <w:color w:val="000000"/>
          <w:szCs w:val="28"/>
        </w:rPr>
      </w:pPr>
    </w:p>
    <w:p w14:paraId="1D237B3D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104D69EE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7241F55A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11237D72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4C8BE15A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1BAC11D5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0AA00C31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1052F43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E0962F4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44F6784B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287F45E0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196D75C7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5EA057B7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09408CD3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F38E473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5E514B92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3C690662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79E597EA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7965CCAD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AED14D9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2213690E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0F088D6D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16E0EC22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318B944C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6B679E9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388A206F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0F5EE146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0A82B55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6063E6CF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5E04B5D1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29FC0BFA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415FFB75" w14:textId="77777777" w:rsidR="006B4EEF" w:rsidRPr="006B4EEF" w:rsidRDefault="006B4EEF" w:rsidP="006B4EEF">
      <w:pPr>
        <w:rPr>
          <w:bCs/>
          <w:color w:val="000000"/>
          <w:sz w:val="24"/>
          <w:szCs w:val="24"/>
        </w:rPr>
      </w:pPr>
      <w:r w:rsidRPr="006B4EEF">
        <w:rPr>
          <w:bCs/>
          <w:color w:val="000000"/>
          <w:sz w:val="24"/>
          <w:szCs w:val="24"/>
        </w:rPr>
        <w:t>Криницкая Елена Юрьевна,</w:t>
      </w:r>
    </w:p>
    <w:p w14:paraId="1A3E8BE0" w14:textId="77777777" w:rsidR="006B4EEF" w:rsidRPr="006B4EEF" w:rsidRDefault="006B4EEF" w:rsidP="006B4EEF">
      <w:pPr>
        <w:rPr>
          <w:bCs/>
          <w:color w:val="000000"/>
          <w:sz w:val="24"/>
          <w:szCs w:val="24"/>
        </w:rPr>
      </w:pPr>
      <w:r w:rsidRPr="006B4EEF">
        <w:rPr>
          <w:bCs/>
          <w:color w:val="000000"/>
          <w:sz w:val="24"/>
          <w:szCs w:val="24"/>
        </w:rPr>
        <w:t xml:space="preserve">72-138 </w:t>
      </w:r>
    </w:p>
    <w:p w14:paraId="63EF8079" w14:textId="77777777" w:rsidR="006B4EEF" w:rsidRPr="006B4EEF" w:rsidRDefault="006B4EEF" w:rsidP="006B4EEF">
      <w:pPr>
        <w:ind w:right="-1"/>
        <w:rPr>
          <w:sz w:val="22"/>
          <w:szCs w:val="22"/>
        </w:rPr>
      </w:pPr>
      <w:bookmarkStart w:id="0" w:name="_Hlk136592378"/>
      <w:r w:rsidRPr="006B4EEF">
        <w:rPr>
          <w:sz w:val="22"/>
          <w:szCs w:val="22"/>
        </w:rPr>
        <w:lastRenderedPageBreak/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378"/>
        <w:gridCol w:w="709"/>
        <w:gridCol w:w="2462"/>
      </w:tblGrid>
      <w:tr w:rsidR="006B4EEF" w:rsidRPr="006B4EEF" w14:paraId="786C500C" w14:textId="77777777" w:rsidTr="00B64C52">
        <w:trPr>
          <w:trHeight w:val="168"/>
        </w:trPr>
        <w:tc>
          <w:tcPr>
            <w:tcW w:w="3340" w:type="pct"/>
          </w:tcPr>
          <w:p w14:paraId="76207E6A" w14:textId="7BB5BA35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6B4EEF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6B4EEF">
              <w:rPr>
                <w:bCs/>
                <w:sz w:val="22"/>
                <w:szCs w:val="22"/>
              </w:rPr>
              <w:t>главы администрации – председател</w:t>
            </w:r>
            <w:r>
              <w:rPr>
                <w:bCs/>
                <w:sz w:val="22"/>
                <w:szCs w:val="22"/>
              </w:rPr>
              <w:t>я</w:t>
            </w:r>
            <w:r w:rsidRPr="006B4EEF">
              <w:rPr>
                <w:bCs/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579EAE41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  <w:p w14:paraId="7D8FD64A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21CDD8E" w14:textId="66A6934A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6B4EEF" w:rsidRPr="006B4EEF" w14:paraId="0B309E75" w14:textId="77777777" w:rsidTr="00B64C52">
        <w:trPr>
          <w:trHeight w:val="135"/>
        </w:trPr>
        <w:tc>
          <w:tcPr>
            <w:tcW w:w="3340" w:type="pct"/>
          </w:tcPr>
          <w:p w14:paraId="6E47D6CA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371" w:type="pct"/>
          </w:tcPr>
          <w:p w14:paraId="5507FC17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2E5EF02C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6B4EEF" w:rsidRPr="006B4EEF" w14:paraId="15BE756F" w14:textId="77777777" w:rsidTr="00B64C52">
        <w:trPr>
          <w:trHeight w:val="67"/>
        </w:trPr>
        <w:tc>
          <w:tcPr>
            <w:tcW w:w="3340" w:type="pct"/>
          </w:tcPr>
          <w:p w14:paraId="633B9324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 xml:space="preserve">Заведующий </w:t>
            </w:r>
            <w:r w:rsidRPr="006B4EEF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7F88C575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D0C2399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6B4EEF" w:rsidRPr="006B4EEF" w14:paraId="0DD20498" w14:textId="77777777" w:rsidTr="00B64C52">
        <w:trPr>
          <w:trHeight w:val="67"/>
        </w:trPr>
        <w:tc>
          <w:tcPr>
            <w:tcW w:w="3340" w:type="pct"/>
          </w:tcPr>
          <w:p w14:paraId="46ABD66D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71" w:type="pct"/>
          </w:tcPr>
          <w:p w14:paraId="494DE8CA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4CE87B61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6B4EEF" w:rsidRPr="006B4EEF" w14:paraId="7183AE9B" w14:textId="77777777" w:rsidTr="00B64C52">
        <w:trPr>
          <w:trHeight w:val="135"/>
        </w:trPr>
        <w:tc>
          <w:tcPr>
            <w:tcW w:w="3340" w:type="pct"/>
          </w:tcPr>
          <w:p w14:paraId="4D06F237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color w:val="000000"/>
                <w:sz w:val="22"/>
                <w:szCs w:val="22"/>
              </w:rPr>
              <w:t xml:space="preserve">Заведующий </w:t>
            </w:r>
            <w:r w:rsidRPr="006B4EEF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371" w:type="pct"/>
          </w:tcPr>
          <w:p w14:paraId="1E870E43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3E3AD17E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Павличенко И.С.</w:t>
            </w:r>
          </w:p>
        </w:tc>
      </w:tr>
    </w:tbl>
    <w:p w14:paraId="7DD3F08B" w14:textId="77777777" w:rsidR="006B4EEF" w:rsidRPr="006B4EEF" w:rsidRDefault="006B4EEF" w:rsidP="006B4EEF">
      <w:pPr>
        <w:ind w:right="-1" w:firstLine="709"/>
        <w:rPr>
          <w:sz w:val="22"/>
          <w:szCs w:val="22"/>
        </w:rPr>
      </w:pPr>
    </w:p>
    <w:p w14:paraId="46BFFEA1" w14:textId="77777777" w:rsidR="006B4EEF" w:rsidRPr="006B4EEF" w:rsidRDefault="006B4EEF" w:rsidP="006B4EEF">
      <w:pPr>
        <w:ind w:right="-1"/>
        <w:rPr>
          <w:bCs/>
          <w:sz w:val="22"/>
          <w:szCs w:val="22"/>
        </w:rPr>
      </w:pPr>
      <w:r w:rsidRPr="006B4EEF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6B4EEF" w:rsidRPr="006B4EEF" w14:paraId="4A90A55A" w14:textId="77777777" w:rsidTr="00B64C52">
        <w:tc>
          <w:tcPr>
            <w:tcW w:w="3627" w:type="pct"/>
            <w:hideMark/>
          </w:tcPr>
          <w:p w14:paraId="4E984353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425BA304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0899E74" w14:textId="43A64ECE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6B4EEF" w:rsidRPr="006B4EEF" w14:paraId="29CA012B" w14:textId="77777777" w:rsidTr="00B64C52">
        <w:tc>
          <w:tcPr>
            <w:tcW w:w="3627" w:type="pct"/>
          </w:tcPr>
          <w:p w14:paraId="2A24460A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 w:rsidRPr="006B4EEF">
              <w:rPr>
                <w:bCs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0" w:type="pct"/>
          </w:tcPr>
          <w:p w14:paraId="4C9FA707" w14:textId="4679A471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0BA6539" w14:textId="77777777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</w:tr>
      <w:bookmarkEnd w:id="0"/>
      <w:tr w:rsidR="006B4EEF" w:rsidRPr="006B4EEF" w14:paraId="09A29CD6" w14:textId="77777777" w:rsidTr="00B64C52">
        <w:tc>
          <w:tcPr>
            <w:tcW w:w="3627" w:type="pct"/>
          </w:tcPr>
          <w:p w14:paraId="3B10B8B9" w14:textId="77777777" w:rsidR="006B4EEF" w:rsidRPr="006B4EEF" w:rsidRDefault="006B4EEF" w:rsidP="006B4EEF">
            <w:pPr>
              <w:ind w:right="-1"/>
              <w:rPr>
                <w:bCs/>
                <w:iCs/>
                <w:sz w:val="22"/>
                <w:szCs w:val="22"/>
              </w:rPr>
            </w:pPr>
            <w:r w:rsidRPr="006B4EEF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0B8B7397" w14:textId="067641C0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7FDE2E49" w14:textId="74E045EE" w:rsidR="006B4EEF" w:rsidRPr="006B4EEF" w:rsidRDefault="006B4EEF" w:rsidP="006B4EEF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F1B1413" w14:textId="77777777" w:rsidR="006B4EEF" w:rsidRDefault="006B4EEF" w:rsidP="001A2440">
      <w:pPr>
        <w:ind w:right="-1" w:firstLine="709"/>
        <w:rPr>
          <w:sz w:val="24"/>
          <w:szCs w:val="24"/>
        </w:rPr>
      </w:pPr>
    </w:p>
    <w:p w14:paraId="2F17FEC4" w14:textId="3CFFFE33" w:rsidR="006B4EEF" w:rsidRDefault="006B4EEF" w:rsidP="00D03FAF">
      <w:pPr>
        <w:ind w:right="-1"/>
        <w:rPr>
          <w:sz w:val="24"/>
          <w:szCs w:val="24"/>
        </w:rPr>
        <w:sectPr w:rsidR="006B4EEF" w:rsidSect="006B4EE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1" w:name="_GoBack"/>
      <w:bookmarkEnd w:id="1"/>
    </w:p>
    <w:p w14:paraId="1B83D4FF" w14:textId="77777777" w:rsidR="006B4EEF" w:rsidRPr="006B4EEF" w:rsidRDefault="006B4EEF" w:rsidP="00D03FAF">
      <w:pPr>
        <w:rPr>
          <w:sz w:val="24"/>
          <w:szCs w:val="24"/>
        </w:rPr>
      </w:pPr>
    </w:p>
    <w:sectPr w:rsidR="006B4EEF" w:rsidRPr="006B4EEF" w:rsidSect="008C762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6C56" w14:textId="77777777" w:rsidR="00E16E96" w:rsidRDefault="00E16E96" w:rsidP="006B4EEF">
      <w:r>
        <w:separator/>
      </w:r>
    </w:p>
  </w:endnote>
  <w:endnote w:type="continuationSeparator" w:id="0">
    <w:p w14:paraId="13611E7B" w14:textId="77777777" w:rsidR="00E16E96" w:rsidRDefault="00E16E96" w:rsidP="006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86E82" w14:textId="77777777" w:rsidR="00E16E96" w:rsidRDefault="00E16E96" w:rsidP="006B4EEF">
      <w:r>
        <w:separator/>
      </w:r>
    </w:p>
  </w:footnote>
  <w:footnote w:type="continuationSeparator" w:id="0">
    <w:p w14:paraId="2611A629" w14:textId="77777777" w:rsidR="00E16E96" w:rsidRDefault="00E16E96" w:rsidP="006B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2525" w14:textId="03973EF1" w:rsidR="006B4EEF" w:rsidRDefault="006B4EE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0724E">
      <w:rPr>
        <w:noProof/>
      </w:rPr>
      <w:t>1</w:t>
    </w:r>
    <w:r>
      <w:fldChar w:fldCharType="end"/>
    </w:r>
  </w:p>
  <w:p w14:paraId="7B166497" w14:textId="77777777" w:rsidR="006B4EEF" w:rsidRDefault="006B4EE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A380C"/>
    <w:multiLevelType w:val="hybridMultilevel"/>
    <w:tmpl w:val="D3AE6628"/>
    <w:lvl w:ilvl="0" w:tplc="CDE0B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70160F"/>
    <w:multiLevelType w:val="hybridMultilevel"/>
    <w:tmpl w:val="DC9836FC"/>
    <w:lvl w:ilvl="0" w:tplc="F0E04CC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10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C471F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0724E"/>
    <w:rsid w:val="006415B0"/>
    <w:rsid w:val="006463D8"/>
    <w:rsid w:val="006B4EEF"/>
    <w:rsid w:val="006C7192"/>
    <w:rsid w:val="00711921"/>
    <w:rsid w:val="00796BD1"/>
    <w:rsid w:val="008A3858"/>
    <w:rsid w:val="008B0A2F"/>
    <w:rsid w:val="008C7620"/>
    <w:rsid w:val="009145F0"/>
    <w:rsid w:val="009840BA"/>
    <w:rsid w:val="00A03876"/>
    <w:rsid w:val="00A13C7B"/>
    <w:rsid w:val="00AE1A2A"/>
    <w:rsid w:val="00B52D22"/>
    <w:rsid w:val="00B83D8D"/>
    <w:rsid w:val="00B95FEE"/>
    <w:rsid w:val="00BB6042"/>
    <w:rsid w:val="00BE5F27"/>
    <w:rsid w:val="00BF2B0B"/>
    <w:rsid w:val="00D03FAF"/>
    <w:rsid w:val="00D368DC"/>
    <w:rsid w:val="00D97342"/>
    <w:rsid w:val="00DC55A5"/>
    <w:rsid w:val="00DD084D"/>
    <w:rsid w:val="00E16E9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45526"/>
  <w15:chartTrackingRefBased/>
  <w15:docId w15:val="{2BC0A382-DA2C-444F-9319-3612D2A0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6B4E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4EEF"/>
    <w:rPr>
      <w:sz w:val="28"/>
    </w:rPr>
  </w:style>
  <w:style w:type="paragraph" w:styleId="ae">
    <w:name w:val="footer"/>
    <w:basedOn w:val="a0"/>
    <w:link w:val="af"/>
    <w:rsid w:val="006B4E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6B4EEF"/>
    <w:rPr>
      <w:sz w:val="28"/>
    </w:rPr>
  </w:style>
  <w:style w:type="paragraph" w:customStyle="1" w:styleId="a">
    <w:name w:val="Список маркированный"/>
    <w:basedOn w:val="a0"/>
    <w:rsid w:val="008C7620"/>
    <w:pPr>
      <w:numPr>
        <w:ilvl w:val="1"/>
        <w:numId w:val="4"/>
      </w:numPr>
    </w:pPr>
  </w:style>
  <w:style w:type="paragraph" w:customStyle="1" w:styleId="Heading">
    <w:name w:val="Heading"/>
    <w:rsid w:val="008C762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8C7620"/>
  </w:style>
  <w:style w:type="paragraph" w:customStyle="1" w:styleId="ConsPlusNormal">
    <w:name w:val="ConsPlusNormal"/>
    <w:rsid w:val="008C762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List Paragraph"/>
    <w:basedOn w:val="a0"/>
    <w:link w:val="af2"/>
    <w:uiPriority w:val="1"/>
    <w:qFormat/>
    <w:rsid w:val="008C7620"/>
    <w:pPr>
      <w:ind w:left="720"/>
      <w:contextualSpacing/>
    </w:pPr>
  </w:style>
  <w:style w:type="character" w:customStyle="1" w:styleId="ab">
    <w:name w:val="Текст выноски Знак"/>
    <w:basedOn w:val="a1"/>
    <w:link w:val="aa"/>
    <w:semiHidden/>
    <w:rsid w:val="008C7620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8C7620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8C762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8C7620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8C7620"/>
    <w:rPr>
      <w:sz w:val="24"/>
    </w:rPr>
  </w:style>
  <w:style w:type="character" w:customStyle="1" w:styleId="11">
    <w:name w:val="Заголовок №1_"/>
    <w:link w:val="12"/>
    <w:uiPriority w:val="99"/>
    <w:locked/>
    <w:rsid w:val="008C7620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8C7620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8C7620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8C7620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8C7620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8C7620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8C7620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8C7620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8C7620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8C7620"/>
    <w:rPr>
      <w:i/>
      <w:iCs/>
    </w:rPr>
  </w:style>
  <w:style w:type="paragraph" w:styleId="16">
    <w:name w:val="toc 1"/>
    <w:basedOn w:val="a0"/>
    <w:next w:val="a0"/>
    <w:autoRedefine/>
    <w:uiPriority w:val="39"/>
    <w:rsid w:val="008C7620"/>
    <w:pPr>
      <w:spacing w:after="100"/>
    </w:pPr>
  </w:style>
  <w:style w:type="character" w:customStyle="1" w:styleId="10">
    <w:name w:val="Заголовок 1 Знак"/>
    <w:basedOn w:val="a1"/>
    <w:link w:val="1"/>
    <w:rsid w:val="008C7620"/>
    <w:rPr>
      <w:b/>
      <w:sz w:val="24"/>
    </w:rPr>
  </w:style>
  <w:style w:type="character" w:customStyle="1" w:styleId="20">
    <w:name w:val="Заголовок 2 Знак"/>
    <w:basedOn w:val="a1"/>
    <w:link w:val="2"/>
    <w:rsid w:val="008C7620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8C762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>    К сетям газоснабжения: газопровод высокого давления II категории, расположенный </vt:lpstr>
      <vt:lpstr>К сетям тепло-, водоснабжения, водоотведения отсутствует. </vt:lpstr>
      <vt:lpstr>- Максимальный коэффициент плотности застройки – 0,4.</vt:lpstr>
      <vt:lpstr/>
      <vt:lpstr/>
      <vt:lpstr>ПОКУПАТЕЛЬ перечисляет оплату цены земельного участка на расчетный счет: _______</vt:lpstr>
    </vt:vector>
  </TitlesOfParts>
  <Company>ADM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2023-09-12T08:28:00Z</cp:lastPrinted>
  <dcterms:created xsi:type="dcterms:W3CDTF">2023-09-11T11:46:00Z</dcterms:created>
  <dcterms:modified xsi:type="dcterms:W3CDTF">2023-09-14T11:57:00Z</dcterms:modified>
</cp:coreProperties>
</file>