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ТИХВИНСКИЙ МУНИЦИПАЛЬНЫЙ РАЙОН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ТИХВИНСКОГО </w:t>
      </w:r>
      <w:r w:rsidR="00E220D4">
        <w:rPr>
          <w:rFonts w:ascii="Times New Roman" w:hAnsi="Times New Roman"/>
          <w:b/>
          <w:sz w:val="40"/>
          <w:szCs w:val="40"/>
        </w:rPr>
        <w:t>ГОРОДСКОГО ПОСЕЛЕНИЯ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AE0EDF" w:rsidRPr="00C44C6B">
        <w:rPr>
          <w:rFonts w:ascii="Times New Roman" w:hAnsi="Times New Roman"/>
          <w:b/>
          <w:sz w:val="32"/>
          <w:szCs w:val="32"/>
        </w:rPr>
        <w:t>3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AE0EDF" w:rsidRPr="00C44C6B">
        <w:rPr>
          <w:rFonts w:ascii="Times New Roman" w:hAnsi="Times New Roman"/>
          <w:b/>
          <w:sz w:val="32"/>
          <w:szCs w:val="32"/>
        </w:rPr>
        <w:t>3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3E70" w:rsidRDefault="00F03E70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3E70" w:rsidRPr="00EE774C" w:rsidRDefault="00F03E70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социально-экономического развития Тихвинского </w:t>
      </w:r>
      <w:r w:rsidR="00B555B2">
        <w:rPr>
          <w:rFonts w:ascii="Times New Roman" w:hAnsi="Times New Roman"/>
          <w:b/>
          <w:bCs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за истекший период текущего финансового года и ожидаемые итоги социально- экономического развития за текущий финансовый год</w:t>
      </w:r>
    </w:p>
    <w:p w:rsidR="000A37FF" w:rsidRPr="003C3EFB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F03E70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F03E70">
        <w:rPr>
          <w:rFonts w:ascii="Times New Roman" w:hAnsi="Times New Roman"/>
          <w:b/>
          <w:iCs/>
          <w:color w:val="000000" w:themeColor="text1"/>
          <w:sz w:val="24"/>
          <w:szCs w:val="24"/>
        </w:rPr>
        <w:t>Демографическая ситуация</w:t>
      </w:r>
    </w:p>
    <w:p w:rsidR="009F02E2" w:rsidRPr="009F02E2" w:rsidRDefault="009F02E2" w:rsidP="009F02E2">
      <w:pPr>
        <w:widowControl w:val="0"/>
        <w:spacing w:after="0"/>
        <w:ind w:firstLine="72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Численность населения на 01.01.2023 г. составила 57 711 человек, 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и снизилась по сравнению с началом прошлого года на 885 человек или на 1,5%. Из общей численности населения: </w:t>
      </w:r>
    </w:p>
    <w:p w:rsidR="009F02E2" w:rsidRPr="009F02E2" w:rsidRDefault="009F02E2" w:rsidP="009F02E2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городское население – 55 922 чел. (- 794 человека); </w:t>
      </w:r>
    </w:p>
    <w:p w:rsidR="009F02E2" w:rsidRPr="009F02E2" w:rsidRDefault="009F02E2" w:rsidP="009F02E2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сельское население – 1 789 чел. (- 91 человек).</w:t>
      </w:r>
    </w:p>
    <w:p w:rsidR="009F02E2" w:rsidRPr="009F02E2" w:rsidRDefault="009F02E2" w:rsidP="009F02E2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   Демографическая ситуация характеризуется следующими показателями:</w:t>
      </w:r>
    </w:p>
    <w:p w:rsidR="009F02E2" w:rsidRPr="009F02E2" w:rsidRDefault="009F02E2" w:rsidP="009F02E2">
      <w:pPr>
        <w:widowControl w:val="0"/>
        <w:ind w:left="-142" w:right="142"/>
        <w:jc w:val="right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     Таблица 1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134"/>
        <w:gridCol w:w="1111"/>
        <w:gridCol w:w="1016"/>
      </w:tblGrid>
      <w:tr w:rsidR="009F02E2" w:rsidRPr="009F02E2" w:rsidTr="0010230C">
        <w:trPr>
          <w:trHeight w:val="26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-14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:rsidR="009F02E2" w:rsidRPr="009F02E2" w:rsidRDefault="009F02E2" w:rsidP="0010230C">
            <w:pPr>
              <w:ind w:left="-142"/>
              <w:jc w:val="center"/>
              <w:rPr>
                <w:rFonts w:ascii="Times New Roman" w:hAnsi="Times New Roman"/>
                <w:b/>
                <w:bCs/>
              </w:rPr>
            </w:pPr>
            <w:r w:rsidRPr="009F02E2">
              <w:rPr>
                <w:rFonts w:ascii="Times New Roman" w:hAnsi="Times New Roman"/>
                <w:b/>
                <w:bCs/>
              </w:rPr>
              <w:t>202</w:t>
            </w:r>
            <w:r w:rsidRPr="009F02E2">
              <w:rPr>
                <w:rFonts w:ascii="Times New Roman" w:hAnsi="Times New Roman"/>
                <w:b/>
                <w:bCs/>
                <w:lang w:val="en-US"/>
              </w:rPr>
              <w:t>2</w:t>
            </w:r>
            <w:r w:rsidRPr="009F02E2">
              <w:rPr>
                <w:rFonts w:ascii="Times New Roman" w:hAnsi="Times New Roman"/>
                <w:b/>
                <w:bCs/>
              </w:rPr>
              <w:t xml:space="preserve"> г.</w:t>
            </w:r>
          </w:p>
        </w:tc>
        <w:tc>
          <w:tcPr>
            <w:tcW w:w="1111" w:type="dxa"/>
          </w:tcPr>
          <w:p w:rsidR="009F02E2" w:rsidRPr="009F02E2" w:rsidRDefault="009F02E2" w:rsidP="0010230C">
            <w:pPr>
              <w:ind w:left="-142"/>
              <w:jc w:val="center"/>
              <w:rPr>
                <w:rFonts w:ascii="Times New Roman" w:hAnsi="Times New Roman"/>
                <w:b/>
              </w:rPr>
            </w:pPr>
            <w:r w:rsidRPr="009F02E2">
              <w:rPr>
                <w:rFonts w:ascii="Times New Roman" w:hAnsi="Times New Roman"/>
                <w:b/>
              </w:rPr>
              <w:t>202</w:t>
            </w:r>
            <w:r w:rsidRPr="009F02E2">
              <w:rPr>
                <w:rFonts w:ascii="Times New Roman" w:hAnsi="Times New Roman"/>
                <w:b/>
                <w:lang w:val="en-US"/>
              </w:rPr>
              <w:t>1</w:t>
            </w:r>
            <w:r w:rsidRPr="009F02E2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ind w:left="-41" w:firstLine="12"/>
              <w:jc w:val="center"/>
              <w:rPr>
                <w:rFonts w:ascii="Times New Roman" w:hAnsi="Times New Roman"/>
                <w:b/>
                <w:bCs/>
              </w:rPr>
            </w:pPr>
            <w:r w:rsidRPr="009F02E2">
              <w:rPr>
                <w:rFonts w:ascii="Times New Roman" w:hAnsi="Times New Roman"/>
                <w:b/>
                <w:bCs/>
              </w:rPr>
              <w:t>% к 202</w:t>
            </w:r>
            <w:r w:rsidRPr="009F02E2">
              <w:rPr>
                <w:rFonts w:ascii="Times New Roman" w:hAnsi="Times New Roman"/>
                <w:b/>
                <w:bCs/>
                <w:lang w:val="en-US"/>
              </w:rPr>
              <w:t>1</w:t>
            </w:r>
            <w:r w:rsidRPr="009F02E2">
              <w:rPr>
                <w:rFonts w:ascii="Times New Roman" w:hAnsi="Times New Roman"/>
                <w:b/>
                <w:bCs/>
              </w:rPr>
              <w:t xml:space="preserve"> г.</w:t>
            </w:r>
          </w:p>
        </w:tc>
      </w:tr>
      <w:tr w:rsidR="009F02E2" w:rsidRPr="009F02E2" w:rsidTr="0010230C">
        <w:trPr>
          <w:trHeight w:val="285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Родилось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376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406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92,6</w:t>
            </w:r>
          </w:p>
        </w:tc>
      </w:tr>
      <w:tr w:rsidR="009F02E2" w:rsidRPr="009F02E2" w:rsidTr="0010230C">
        <w:trPr>
          <w:trHeight w:val="27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Умерло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890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958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92,9</w:t>
            </w:r>
          </w:p>
        </w:tc>
      </w:tr>
      <w:tr w:rsidR="009F02E2" w:rsidRPr="009F02E2" w:rsidTr="0010230C">
        <w:trPr>
          <w:trHeight w:val="26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Коэффициент рождаемости (на 1 тыс. населения)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6,5</w:t>
            </w:r>
          </w:p>
        </w:tc>
        <w:tc>
          <w:tcPr>
            <w:tcW w:w="1111" w:type="dxa"/>
          </w:tcPr>
          <w:p w:rsidR="009F02E2" w:rsidRPr="009F02E2" w:rsidRDefault="009F02E2" w:rsidP="0010230C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 xml:space="preserve">  7,1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91,5</w:t>
            </w:r>
          </w:p>
        </w:tc>
      </w:tr>
      <w:tr w:rsidR="009F02E2" w:rsidRPr="009F02E2" w:rsidTr="0010230C">
        <w:trPr>
          <w:trHeight w:val="26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Коэффициент смертности (на 1 тыс. населения)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15,5</w:t>
            </w:r>
          </w:p>
        </w:tc>
        <w:tc>
          <w:tcPr>
            <w:tcW w:w="1111" w:type="dxa"/>
          </w:tcPr>
          <w:p w:rsidR="009F02E2" w:rsidRPr="009F02E2" w:rsidRDefault="009F02E2" w:rsidP="0010230C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 xml:space="preserve">   16,8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92,3</w:t>
            </w:r>
          </w:p>
        </w:tc>
      </w:tr>
      <w:tr w:rsidR="009F02E2" w:rsidRPr="009F02E2" w:rsidTr="0010230C">
        <w:trPr>
          <w:trHeight w:val="26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 xml:space="preserve">Естественная прирост/убыль  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-514</w:t>
            </w:r>
          </w:p>
        </w:tc>
        <w:tc>
          <w:tcPr>
            <w:tcW w:w="1111" w:type="dxa"/>
          </w:tcPr>
          <w:p w:rsidR="009F02E2" w:rsidRPr="009F02E2" w:rsidRDefault="009F02E2" w:rsidP="0010230C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 xml:space="preserve">  -552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 xml:space="preserve"> 93,1</w:t>
            </w:r>
          </w:p>
        </w:tc>
      </w:tr>
      <w:tr w:rsidR="009F02E2" w:rsidRPr="009F02E2" w:rsidTr="0010230C">
        <w:trPr>
          <w:trHeight w:val="269"/>
          <w:jc w:val="center"/>
        </w:trPr>
        <w:tc>
          <w:tcPr>
            <w:tcW w:w="5665" w:type="dxa"/>
          </w:tcPr>
          <w:p w:rsidR="009F02E2" w:rsidRPr="009F02E2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Миграционный прирост/убыль, чел.</w:t>
            </w:r>
          </w:p>
        </w:tc>
        <w:tc>
          <w:tcPr>
            <w:tcW w:w="1134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F02E2">
              <w:rPr>
                <w:rFonts w:ascii="Times New Roman" w:hAnsi="Times New Roman"/>
              </w:rPr>
              <w:t>-333</w:t>
            </w:r>
          </w:p>
        </w:tc>
        <w:tc>
          <w:tcPr>
            <w:tcW w:w="1111" w:type="dxa"/>
          </w:tcPr>
          <w:p w:rsidR="009F02E2" w:rsidRPr="009F02E2" w:rsidRDefault="009F02E2" w:rsidP="0010230C">
            <w:pPr>
              <w:spacing w:line="259" w:lineRule="auto"/>
              <w:ind w:left="-142"/>
              <w:jc w:val="center"/>
              <w:rPr>
                <w:rFonts w:ascii="Times New Roman" w:hAnsi="Times New Roman"/>
                <w:lang w:val="en-US"/>
              </w:rPr>
            </w:pPr>
            <w:r w:rsidRPr="009F02E2">
              <w:rPr>
                <w:rFonts w:ascii="Times New Roman" w:hAnsi="Times New Roman"/>
              </w:rPr>
              <w:t xml:space="preserve">  +52</w:t>
            </w:r>
          </w:p>
        </w:tc>
        <w:tc>
          <w:tcPr>
            <w:tcW w:w="1016" w:type="dxa"/>
          </w:tcPr>
          <w:p w:rsidR="009F02E2" w:rsidRPr="009F02E2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F02E2" w:rsidRPr="009F02E2" w:rsidRDefault="009F02E2" w:rsidP="009F02E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sz w:val="24"/>
          <w:szCs w:val="24"/>
        </w:rPr>
        <w:t>По оценке</w:t>
      </w:r>
      <w:r w:rsidRPr="009F02E2">
        <w:rPr>
          <w:rFonts w:ascii="Times New Roman" w:hAnsi="Times New Roman"/>
          <w:sz w:val="24"/>
          <w:szCs w:val="24"/>
        </w:rPr>
        <w:t xml:space="preserve"> численность постоянного населения Тихвинского городского поселения </w:t>
      </w:r>
      <w:r w:rsidRPr="009F02E2">
        <w:rPr>
          <w:rFonts w:ascii="Times New Roman" w:hAnsi="Times New Roman"/>
          <w:b/>
          <w:sz w:val="24"/>
          <w:szCs w:val="24"/>
        </w:rPr>
        <w:t>на 1 января 2024 года</w:t>
      </w:r>
      <w:r w:rsidRPr="009F02E2">
        <w:rPr>
          <w:rFonts w:ascii="Times New Roman" w:hAnsi="Times New Roman"/>
          <w:sz w:val="24"/>
          <w:szCs w:val="24"/>
        </w:rPr>
        <w:t xml:space="preserve"> составит 57 249 человек или 99,2% к уровню 2023 года. Сокращение численности населения поселения в 2023 году будет обусловлено естественной убылью населения, уровень которой составит в 2023 году -8,9 человек на 1000 чел. населения против -9,7 человек в 2022 году. Коэффициент смертности снизится с 16,8 человека в 2022 году до 15,5 человека в 2023 году, коэффициент рождаемости снизится до 6,5 человека на 1000 населения (2022 – 7,1).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Интенсивность </w:t>
      </w:r>
      <w:r w:rsidRPr="009F02E2">
        <w:rPr>
          <w:rFonts w:ascii="Times New Roman" w:hAnsi="Times New Roman"/>
          <w:bCs/>
          <w:iCs/>
          <w:sz w:val="24"/>
          <w:szCs w:val="24"/>
        </w:rPr>
        <w:t>миграционного прироста</w:t>
      </w:r>
      <w:r w:rsidRPr="009F02E2">
        <w:rPr>
          <w:rFonts w:ascii="Times New Roman" w:hAnsi="Times New Roman"/>
          <w:sz w:val="24"/>
          <w:szCs w:val="24"/>
        </w:rPr>
        <w:t xml:space="preserve"> умеренно увеличится до положительного сальдо в 52 человека.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В итоге, снижение численности населения Тихвинского городского поселения ожидается в 2023 году на уровне 885 человек.</w:t>
      </w:r>
    </w:p>
    <w:p w:rsidR="009F02E2" w:rsidRPr="009F02E2" w:rsidRDefault="009F02E2" w:rsidP="009F02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02E2" w:rsidRPr="009F02E2" w:rsidRDefault="009F02E2" w:rsidP="009F02E2">
      <w:pPr>
        <w:jc w:val="center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bCs/>
          <w:sz w:val="24"/>
          <w:szCs w:val="24"/>
        </w:rPr>
        <w:t>Промышленное производство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Промышленность является базовой отраслью и имеет значимое влияние на экономику района. На территории поселения осуществляют производственную деятельность 15 крупных и средних промышленных предприятий. 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Объёмы отгруженных товаров, выполненных работ, услуг крупными и средними предприятиями промышленности района за 2022 год составили 53 639,6 млн. рублей (69,6% к АППГ).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sz w:val="24"/>
          <w:szCs w:val="24"/>
        </w:rPr>
        <w:lastRenderedPageBreak/>
        <w:t>За первое полугодие 2023 года</w:t>
      </w:r>
      <w:r w:rsidRPr="009F02E2">
        <w:rPr>
          <w:rFonts w:ascii="Times New Roman" w:hAnsi="Times New Roman"/>
          <w:sz w:val="24"/>
          <w:szCs w:val="24"/>
        </w:rPr>
        <w:t xml:space="preserve"> объём отгруженных товаров собственного производства, выполненных работ и услуг по всем основным видам промышленной составили</w:t>
      </w:r>
      <w:r w:rsidRPr="009F02E2">
        <w:rPr>
          <w:rFonts w:ascii="Times New Roman" w:hAnsi="Times New Roman"/>
          <w:b/>
          <w:sz w:val="24"/>
          <w:szCs w:val="24"/>
        </w:rPr>
        <w:t xml:space="preserve"> </w:t>
      </w:r>
      <w:r w:rsidRPr="009F02E2">
        <w:rPr>
          <w:rFonts w:ascii="Times New Roman" w:hAnsi="Times New Roman"/>
          <w:sz w:val="24"/>
          <w:szCs w:val="24"/>
        </w:rPr>
        <w:t>38 087,5 млн. рублей (115% к АППГ).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городского поселения составляет 93%, при этом около 93,1% промышленной продукции производится предприятиями холдинга «Объединённая вагонная компания»: Тихвинским вагоностроительным заводом, заводами </w:t>
      </w:r>
      <w:proofErr w:type="spellStart"/>
      <w:r w:rsidRPr="009F02E2">
        <w:rPr>
          <w:rFonts w:ascii="Times New Roman" w:hAnsi="Times New Roman"/>
          <w:sz w:val="24"/>
          <w:szCs w:val="24"/>
        </w:rPr>
        <w:t>ТихвинХимМаш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02E2">
        <w:rPr>
          <w:rFonts w:ascii="Times New Roman" w:hAnsi="Times New Roman"/>
          <w:sz w:val="24"/>
          <w:szCs w:val="24"/>
        </w:rPr>
        <w:t>Титран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-Экспресс и </w:t>
      </w:r>
      <w:proofErr w:type="spellStart"/>
      <w:r w:rsidRPr="009F02E2">
        <w:rPr>
          <w:rFonts w:ascii="Times New Roman" w:hAnsi="Times New Roman"/>
          <w:sz w:val="24"/>
          <w:szCs w:val="24"/>
        </w:rPr>
        <w:t>ТихвинСпецМаш</w:t>
      </w:r>
      <w:proofErr w:type="spellEnd"/>
      <w:r w:rsidRPr="009F02E2">
        <w:rPr>
          <w:rFonts w:ascii="Times New Roman" w:hAnsi="Times New Roman"/>
          <w:sz w:val="24"/>
          <w:szCs w:val="24"/>
        </w:rPr>
        <w:t>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Прогнозные показатели, представленные предприятиями холдинга ОВК, позволяют ожидать значительное увеличение объёмов производства продукции в целом по поселению. Объёмы промышленной продукции в 2023 году ожидаются на уровне 150,4% от объёмов прошлого года.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F02E2">
        <w:rPr>
          <w:rFonts w:ascii="Times New Roman" w:hAnsi="Times New Roman"/>
          <w:sz w:val="24"/>
          <w:szCs w:val="24"/>
        </w:rPr>
        <w:tab/>
        <w:t xml:space="preserve">При подготовке прогнозных показателей развития промышленности на среднесрочную перспективу учитывались прогнозы, представленные предприятиями. 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В 2026 году объём отгруженных товаров собственного производства, выполненных работ и услуг собственными силами по промышленным видам деятельности прогнозируется на уровне 83,1 млрд. рублей.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ab/>
        <w:t xml:space="preserve">Ведущее место в промышленности поселения занимают </w:t>
      </w:r>
      <w:r w:rsidRPr="009F02E2">
        <w:rPr>
          <w:rFonts w:ascii="Times New Roman" w:hAnsi="Times New Roman"/>
          <w:b/>
          <w:i/>
          <w:sz w:val="24"/>
          <w:szCs w:val="24"/>
          <w:u w:val="single"/>
        </w:rPr>
        <w:t>обрабатывающие производства</w:t>
      </w:r>
      <w:r w:rsidRPr="009F02E2">
        <w:rPr>
          <w:rFonts w:ascii="Times New Roman" w:hAnsi="Times New Roman"/>
          <w:sz w:val="24"/>
          <w:szCs w:val="24"/>
        </w:rPr>
        <w:t xml:space="preserve">, в структуре отгруженной продукции промышленности их удельный вес составляет 92,1%.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ab/>
        <w:t xml:space="preserve">Отраслевая структура обрабатывающих производств представлена: </w:t>
      </w:r>
    </w:p>
    <w:p w:rsidR="009F02E2" w:rsidRPr="009F02E2" w:rsidRDefault="009F02E2" w:rsidP="009F02E2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пр</w:t>
      </w:r>
      <w:r w:rsidRPr="009F02E2">
        <w:rPr>
          <w:rFonts w:ascii="Times New Roman" w:hAnsi="Times New Roman"/>
          <w:iCs/>
          <w:sz w:val="24"/>
          <w:szCs w:val="24"/>
        </w:rPr>
        <w:t>оизводством прочих транспортных средств и оборудования</w:t>
      </w:r>
      <w:r w:rsidRPr="009F02E2">
        <w:rPr>
          <w:rFonts w:ascii="Times New Roman" w:hAnsi="Times New Roman"/>
          <w:sz w:val="24"/>
          <w:szCs w:val="24"/>
        </w:rPr>
        <w:t xml:space="preserve"> – </w:t>
      </w:r>
      <w:r w:rsidRPr="009F02E2">
        <w:rPr>
          <w:rFonts w:ascii="Times New Roman" w:hAnsi="Times New Roman"/>
          <w:iCs/>
          <w:sz w:val="24"/>
          <w:szCs w:val="24"/>
        </w:rPr>
        <w:t>92,1%;</w:t>
      </w:r>
    </w:p>
    <w:p w:rsidR="009F02E2" w:rsidRPr="009F02E2" w:rsidRDefault="009F02E2" w:rsidP="009F02E2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производством металлургическим – 6,6%;</w:t>
      </w:r>
    </w:p>
    <w:p w:rsidR="009F02E2" w:rsidRPr="009F02E2" w:rsidRDefault="009F02E2" w:rsidP="009F02E2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производством одежды – 0,6%;</w:t>
      </w:r>
    </w:p>
    <w:p w:rsidR="009F02E2" w:rsidRPr="009F02E2" w:rsidRDefault="009F02E2" w:rsidP="009F02E2">
      <w:pPr>
        <w:widowControl w:val="0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прочие ВЭД – 0,7%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sz w:val="24"/>
          <w:szCs w:val="24"/>
        </w:rPr>
        <w:t>За 1 полугодие 2023 года</w:t>
      </w:r>
      <w:r w:rsidRPr="009F02E2">
        <w:rPr>
          <w:rFonts w:ascii="Times New Roman" w:hAnsi="Times New Roman"/>
          <w:sz w:val="24"/>
          <w:szCs w:val="24"/>
        </w:rPr>
        <w:t xml:space="preserve"> отгружено продукции на сумму 37 708,9 млн. рублей (116,6% к АППГ в сопоставимых ценах). 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Сложившаяся в стране ситуация </w:t>
      </w:r>
      <w:r w:rsidRPr="009F02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из-за беспрецедентных торговых и финансовых санкций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внесла свои коррективы в работу ряда крупных и средних предприятий Тихвинского городского поселения. </w:t>
      </w:r>
      <w:r w:rsidRPr="009F02E2">
        <w:rPr>
          <w:rFonts w:ascii="Times New Roman" w:hAnsi="Times New Roman"/>
          <w:sz w:val="24"/>
          <w:szCs w:val="24"/>
        </w:rPr>
        <w:t>ООО «ТФЗ» сократило объём производства ввиду отсутствия спроса на феррохром в России.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ООО «</w:t>
      </w:r>
      <w:proofErr w:type="spellStart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Лузалес</w:t>
      </w:r>
      <w:proofErr w:type="spellEnd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>-Тихвин» в</w:t>
      </w:r>
      <w:r w:rsidRPr="009F02E2">
        <w:rPr>
          <w:rFonts w:ascii="Times New Roman" w:hAnsi="Times New Roman"/>
          <w:sz w:val="24"/>
          <w:szCs w:val="24"/>
        </w:rPr>
        <w:t xml:space="preserve"> июне 2023 года частично отменило режим простоя, с сентября предприятие работает в полном составе. </w:t>
      </w:r>
      <w:r w:rsidRPr="009F02E2">
        <w:rPr>
          <w:rFonts w:ascii="Times New Roman" w:hAnsi="Times New Roman"/>
          <w:color w:val="000000"/>
          <w:sz w:val="24"/>
          <w:szCs w:val="24"/>
        </w:rPr>
        <w:t>К концу года этот показатель составит 108,9% от АППГ.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9F02E2">
        <w:rPr>
          <w:rFonts w:ascii="Times New Roman" w:hAnsi="Times New Roman"/>
          <w:sz w:val="24"/>
          <w:szCs w:val="24"/>
          <w:u w:val="single"/>
        </w:rPr>
        <w:t>Прогнозируемая ситуация по видам экономической деятельности: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- </w:t>
      </w:r>
      <w:r w:rsidRPr="009F02E2">
        <w:rPr>
          <w:rFonts w:ascii="Times New Roman" w:hAnsi="Times New Roman"/>
          <w:b/>
          <w:sz w:val="24"/>
          <w:szCs w:val="24"/>
        </w:rPr>
        <w:t>«</w:t>
      </w:r>
      <w:r w:rsidRPr="009F02E2">
        <w:rPr>
          <w:rFonts w:ascii="Times New Roman" w:hAnsi="Times New Roman"/>
          <w:b/>
          <w:i/>
          <w:sz w:val="24"/>
          <w:szCs w:val="24"/>
        </w:rPr>
        <w:t>Пр</w:t>
      </w:r>
      <w:r w:rsidRPr="009F02E2">
        <w:rPr>
          <w:rFonts w:ascii="Times New Roman" w:hAnsi="Times New Roman"/>
          <w:b/>
          <w:i/>
          <w:iCs/>
          <w:sz w:val="24"/>
          <w:szCs w:val="24"/>
        </w:rPr>
        <w:t>оизводство прочих транспортных средств и оборудования»</w:t>
      </w:r>
      <w:r w:rsidRPr="009F02E2">
        <w:rPr>
          <w:rFonts w:ascii="Times New Roman" w:hAnsi="Times New Roman"/>
          <w:sz w:val="24"/>
          <w:szCs w:val="24"/>
        </w:rPr>
        <w:t>: по итогам 2022 года объём произведенной и отгруженной продукции составил   38 670,4 млн. руб. (62,4%). Основной объём продукции этого вида экономической деятельности приходится на предприятия по производству специализированных вагонов, их комплектующих, входящие в состав холдинга НПК «ОВК»: АО «Тихвинский вагоностроительный завод»; АО «</w:t>
      </w:r>
      <w:proofErr w:type="spellStart"/>
      <w:r w:rsidRPr="009F02E2">
        <w:rPr>
          <w:rFonts w:ascii="Times New Roman" w:hAnsi="Times New Roman"/>
          <w:sz w:val="24"/>
          <w:szCs w:val="24"/>
        </w:rPr>
        <w:t>ТихвинХимМаш</w:t>
      </w:r>
      <w:proofErr w:type="spellEnd"/>
      <w:r w:rsidRPr="009F02E2">
        <w:rPr>
          <w:rFonts w:ascii="Times New Roman" w:hAnsi="Times New Roman"/>
          <w:sz w:val="24"/>
          <w:szCs w:val="24"/>
        </w:rPr>
        <w:t>», АО «</w:t>
      </w:r>
      <w:proofErr w:type="spellStart"/>
      <w:r w:rsidRPr="009F02E2">
        <w:rPr>
          <w:rFonts w:ascii="Times New Roman" w:hAnsi="Times New Roman"/>
          <w:sz w:val="24"/>
          <w:szCs w:val="24"/>
        </w:rPr>
        <w:t>ТихвинСпецМаш</w:t>
      </w:r>
      <w:proofErr w:type="spellEnd"/>
      <w:r w:rsidRPr="009F02E2">
        <w:rPr>
          <w:rFonts w:ascii="Times New Roman" w:hAnsi="Times New Roman"/>
          <w:sz w:val="24"/>
          <w:szCs w:val="24"/>
        </w:rPr>
        <w:t>», АО «ТСЗ «</w:t>
      </w:r>
      <w:proofErr w:type="spellStart"/>
      <w:r w:rsidRPr="009F02E2">
        <w:rPr>
          <w:rFonts w:ascii="Times New Roman" w:hAnsi="Times New Roman"/>
          <w:sz w:val="24"/>
          <w:szCs w:val="24"/>
        </w:rPr>
        <w:t>Титран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-Экспресс». 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iCs/>
          <w:color w:val="000000"/>
          <w:sz w:val="24"/>
          <w:szCs w:val="24"/>
        </w:rPr>
        <w:t>В 1 полугодии 2023 года объём произведённой и отгруженной продукции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холдинга НПК «ОВК»</w:t>
      </w:r>
      <w:r w:rsidRPr="009F02E2">
        <w:rPr>
          <w:rFonts w:ascii="Times New Roman" w:hAnsi="Times New Roman"/>
          <w:iCs/>
          <w:color w:val="000000"/>
          <w:sz w:val="24"/>
          <w:szCs w:val="24"/>
        </w:rPr>
        <w:t xml:space="preserve"> составил 35 142,3 млн. руб. (96% от общего объёма </w:t>
      </w:r>
      <w:r w:rsidRPr="009F02E2">
        <w:rPr>
          <w:rFonts w:ascii="Times New Roman" w:hAnsi="Times New Roman"/>
          <w:color w:val="000000"/>
          <w:sz w:val="24"/>
          <w:szCs w:val="24"/>
        </w:rPr>
        <w:t>«Пр</w:t>
      </w:r>
      <w:r w:rsidRPr="009F02E2">
        <w:rPr>
          <w:rFonts w:ascii="Times New Roman" w:hAnsi="Times New Roman"/>
          <w:iCs/>
          <w:color w:val="000000"/>
          <w:sz w:val="24"/>
          <w:szCs w:val="24"/>
        </w:rPr>
        <w:t>оизводства прочих транспортных средств и оборудования»), было отгружено 7 413 грузовых вагонов, что на 45,7% больше аналогичного периода прошлого года (5 087 вагонов).</w:t>
      </w:r>
      <w:r w:rsidRPr="009F02E2">
        <w:rPr>
          <w:rFonts w:ascii="Times New Roman" w:hAnsi="Times New Roman"/>
          <w:sz w:val="24"/>
          <w:szCs w:val="24"/>
        </w:rPr>
        <w:t xml:space="preserve">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lastRenderedPageBreak/>
        <w:t xml:space="preserve">По итогам 2023 года объём отгруженных товаров предприятиями холдинга в ценах соответствующих лет ожидается на уровне 76 567,4 млн. рублей, что составит 132% к уровню 2022 года.  </w:t>
      </w:r>
      <w:r w:rsidRPr="009F02E2">
        <w:rPr>
          <w:rFonts w:ascii="Times New Roman" w:hAnsi="Times New Roman"/>
          <w:iCs/>
          <w:sz w:val="24"/>
          <w:szCs w:val="24"/>
        </w:rPr>
        <w:t xml:space="preserve">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В прогнозируемом периоде</w:t>
      </w:r>
      <w:r w:rsidRPr="009F02E2">
        <w:rPr>
          <w:rFonts w:ascii="Times New Roman" w:hAnsi="Times New Roman"/>
          <w:bCs/>
          <w:sz w:val="24"/>
          <w:szCs w:val="24"/>
        </w:rPr>
        <w:t xml:space="preserve"> индекс объёмов в </w:t>
      </w:r>
      <w:r w:rsidRPr="009F02E2">
        <w:rPr>
          <w:rFonts w:ascii="Times New Roman" w:hAnsi="Times New Roman"/>
          <w:sz w:val="24"/>
          <w:szCs w:val="24"/>
        </w:rPr>
        <w:t>«</w:t>
      </w:r>
      <w:r w:rsidRPr="009F02E2">
        <w:rPr>
          <w:rFonts w:ascii="Times New Roman" w:hAnsi="Times New Roman"/>
          <w:i/>
          <w:sz w:val="24"/>
          <w:szCs w:val="24"/>
        </w:rPr>
        <w:t>Пр</w:t>
      </w:r>
      <w:r w:rsidRPr="009F02E2">
        <w:rPr>
          <w:rFonts w:ascii="Times New Roman" w:hAnsi="Times New Roman"/>
          <w:i/>
          <w:iCs/>
          <w:sz w:val="24"/>
          <w:szCs w:val="24"/>
        </w:rPr>
        <w:t>оизводстве прочих транспортных средств и оборудования»</w:t>
      </w:r>
      <w:r w:rsidRPr="009F02E2">
        <w:rPr>
          <w:rFonts w:ascii="Times New Roman" w:hAnsi="Times New Roman"/>
          <w:sz w:val="24"/>
          <w:szCs w:val="24"/>
        </w:rPr>
        <w:t xml:space="preserve"> планируется в 2024 году – 87,1%, в 2025 году – 88,1%; в 2026 году – 88,1%.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F02E2">
        <w:rPr>
          <w:rFonts w:ascii="Times New Roman" w:hAnsi="Times New Roman"/>
          <w:sz w:val="24"/>
          <w:szCs w:val="24"/>
        </w:rPr>
        <w:t xml:space="preserve">- </w:t>
      </w:r>
      <w:r w:rsidRPr="009F02E2">
        <w:rPr>
          <w:rFonts w:ascii="Times New Roman" w:hAnsi="Times New Roman"/>
          <w:b/>
          <w:i/>
          <w:iCs/>
          <w:sz w:val="24"/>
          <w:szCs w:val="24"/>
        </w:rPr>
        <w:t>«Производство металлургическое»</w:t>
      </w:r>
      <w:r w:rsidRPr="009F02E2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9F02E2">
        <w:rPr>
          <w:rFonts w:ascii="Times New Roman" w:hAnsi="Times New Roman"/>
          <w:iCs/>
          <w:color w:val="000000"/>
          <w:sz w:val="24"/>
          <w:szCs w:val="24"/>
        </w:rPr>
        <w:t>объёмы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складываются из результатов работы ООО «Тихвинский ферросплавный завод» - </w:t>
      </w:r>
      <w:r w:rsidRPr="009F02E2">
        <w:rPr>
          <w:rFonts w:ascii="Times New Roman" w:hAnsi="Times New Roman"/>
          <w:color w:val="000000"/>
          <w:sz w:val="24"/>
          <w:szCs w:val="24"/>
          <w:shd w:val="clear" w:color="auto" w:fill="FBFBFB"/>
        </w:rPr>
        <w:t xml:space="preserve">современного предприятия в области производства высокоуглеродистого феррохрома. 96% продукции отправляется на экспорт.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F02E2">
        <w:rPr>
          <w:rFonts w:ascii="Times New Roman" w:hAnsi="Times New Roman"/>
          <w:iCs/>
          <w:color w:val="000000"/>
          <w:sz w:val="24"/>
          <w:szCs w:val="24"/>
        </w:rPr>
        <w:t xml:space="preserve">За 1 </w:t>
      </w:r>
      <w:r w:rsidRPr="009F02E2">
        <w:rPr>
          <w:rFonts w:ascii="Times New Roman" w:hAnsi="Times New Roman"/>
          <w:color w:val="000000"/>
          <w:sz w:val="24"/>
          <w:szCs w:val="24"/>
        </w:rPr>
        <w:t>полугодие</w:t>
      </w:r>
      <w:r w:rsidRPr="009F02E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2023 года объём отгруженных товаров собственного производства составил 2 490 млн. рублей (33,4% к АППГ), </w:t>
      </w:r>
      <w:r w:rsidRPr="009F02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объём производства 10,9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02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тыс. тонн феррохрома </w:t>
      </w:r>
      <w:r w:rsidRPr="009F02E2">
        <w:rPr>
          <w:rFonts w:ascii="Times New Roman" w:hAnsi="Times New Roman"/>
          <w:color w:val="000000"/>
          <w:sz w:val="24"/>
          <w:szCs w:val="24"/>
        </w:rPr>
        <w:t>(45,4% к АППГ)</w:t>
      </w:r>
      <w:r w:rsidRPr="009F02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9F02E2">
        <w:rPr>
          <w:rFonts w:ascii="Times New Roman" w:hAnsi="Times New Roman"/>
          <w:sz w:val="24"/>
          <w:szCs w:val="24"/>
        </w:rPr>
        <w:t>ООО «ТФЗ» сократило объём производства ввиду отсутствия спроса на феррохром в России.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По о</w:t>
      </w:r>
      <w:r w:rsidRPr="009F02E2">
        <w:rPr>
          <w:rFonts w:ascii="Times New Roman" w:hAnsi="Times New Roman"/>
          <w:sz w:val="24"/>
          <w:szCs w:val="24"/>
        </w:rPr>
        <w:t>ценке за 2023 год объём отгруженных товаров составит 6 687,7 млн. рублей (66,2% к АППГ).  В 2024 – 2026 гг. предприятие не планирует большого роста объёмов производства, индекс</w:t>
      </w:r>
      <w:r w:rsidRPr="009F02E2">
        <w:rPr>
          <w:rFonts w:ascii="Times New Roman" w:hAnsi="Times New Roman"/>
          <w:bCs/>
          <w:sz w:val="24"/>
          <w:szCs w:val="24"/>
        </w:rPr>
        <w:t xml:space="preserve"> объёмов</w:t>
      </w:r>
      <w:r w:rsidRPr="009F02E2">
        <w:rPr>
          <w:rFonts w:ascii="Times New Roman" w:hAnsi="Times New Roman"/>
          <w:sz w:val="24"/>
          <w:szCs w:val="24"/>
        </w:rPr>
        <w:t xml:space="preserve"> прогнозируется на уровне 114,8%; 114,3%; 114,9% ежегодно.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i/>
          <w:iCs/>
          <w:sz w:val="24"/>
          <w:szCs w:val="24"/>
        </w:rPr>
        <w:t>- «Производство мебели»</w:t>
      </w:r>
      <w:r w:rsidRPr="009F02E2">
        <w:rPr>
          <w:rFonts w:ascii="Times New Roman" w:hAnsi="Times New Roman"/>
          <w:sz w:val="24"/>
          <w:szCs w:val="24"/>
        </w:rPr>
        <w:t xml:space="preserve">: 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основной объём по данному виду экономической деятельности составлял объём производства продукции предприятия ООО «ИКЕА </w:t>
      </w:r>
      <w:proofErr w:type="spellStart"/>
      <w:r w:rsidRPr="009F02E2">
        <w:rPr>
          <w:rFonts w:ascii="Times New Roman" w:hAnsi="Times New Roman"/>
          <w:color w:val="000000"/>
          <w:sz w:val="24"/>
          <w:szCs w:val="24"/>
        </w:rPr>
        <w:t>Индастри</w:t>
      </w:r>
      <w:proofErr w:type="spellEnd"/>
      <w:r w:rsidRPr="009F02E2">
        <w:rPr>
          <w:rFonts w:ascii="Times New Roman" w:hAnsi="Times New Roman"/>
          <w:color w:val="000000"/>
          <w:sz w:val="24"/>
          <w:szCs w:val="24"/>
        </w:rPr>
        <w:t xml:space="preserve"> Тихвин». 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Начиная с марта 2022 года, в связи с текущей экономической ситуацией, вызванной рядом ограничений в ведении бизнеса и неопределённостью в логистических цепочках, предприятие находилось в вынужденном простое. В марте 2023г. официально «ИКЕА </w:t>
      </w:r>
      <w:proofErr w:type="spellStart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Индастри</w:t>
      </w:r>
      <w:proofErr w:type="spellEnd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 Тихвин» сменило название на ООО «</w:t>
      </w:r>
      <w:proofErr w:type="spellStart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Лузалес</w:t>
      </w:r>
      <w:proofErr w:type="spellEnd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-Тихвин». </w:t>
      </w:r>
      <w:r w:rsidRPr="009F02E2">
        <w:rPr>
          <w:rFonts w:ascii="Times New Roman" w:hAnsi="Times New Roman"/>
          <w:sz w:val="24"/>
          <w:szCs w:val="24"/>
        </w:rPr>
        <w:t xml:space="preserve">В июне 2023 года режим простоя частично отменён, с сентября </w:t>
      </w:r>
      <w:proofErr w:type="gramStart"/>
      <w:r w:rsidRPr="009F02E2">
        <w:rPr>
          <w:rFonts w:ascii="Times New Roman" w:hAnsi="Times New Roman"/>
          <w:sz w:val="24"/>
          <w:szCs w:val="24"/>
        </w:rPr>
        <w:t>предприятие  работает</w:t>
      </w:r>
      <w:proofErr w:type="gramEnd"/>
      <w:r w:rsidRPr="009F02E2">
        <w:rPr>
          <w:rFonts w:ascii="Times New Roman" w:hAnsi="Times New Roman"/>
          <w:sz w:val="24"/>
          <w:szCs w:val="24"/>
        </w:rPr>
        <w:t xml:space="preserve"> в полном составе.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На данный момент основным видом деятельности 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ООО «</w:t>
      </w:r>
      <w:proofErr w:type="spellStart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>Лузалес</w:t>
      </w:r>
      <w:proofErr w:type="spellEnd"/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-Тихвин» </w:t>
      </w:r>
      <w:r w:rsidRPr="009F02E2">
        <w:rPr>
          <w:rFonts w:ascii="Times New Roman" w:hAnsi="Times New Roman"/>
          <w:sz w:val="24"/>
          <w:szCs w:val="24"/>
        </w:rPr>
        <w:t xml:space="preserve">является обработка древесины – производство доски. </w:t>
      </w:r>
      <w:r w:rsidRPr="009F02E2">
        <w:rPr>
          <w:rFonts w:ascii="Times New Roman" w:hAnsi="Times New Roman"/>
          <w:color w:val="000000"/>
          <w:sz w:val="24"/>
          <w:szCs w:val="24"/>
        </w:rPr>
        <w:t>Объём отгруженной продукции за первое полугодие 2023 года составил 20 млн. рублей (1,85% к 2022 г.).</w:t>
      </w:r>
      <w:r w:rsidRPr="009F02E2">
        <w:rPr>
          <w:rFonts w:ascii="Times New Roman" w:hAnsi="Times New Roman"/>
          <w:sz w:val="24"/>
          <w:szCs w:val="24"/>
        </w:rPr>
        <w:t xml:space="preserve">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К концу года этот показатель составит около 469% от АППГ.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F02E2">
        <w:rPr>
          <w:rFonts w:ascii="Times New Roman" w:hAnsi="Times New Roman"/>
          <w:sz w:val="24"/>
          <w:szCs w:val="24"/>
        </w:rPr>
        <w:t xml:space="preserve">В прогнозируемом периоде 2024 – 2026 гг. с учетом восстановления производственной деятельности предприятия </w:t>
      </w:r>
      <w:r w:rsidRPr="009F02E2">
        <w:rPr>
          <w:rFonts w:ascii="Times New Roman" w:hAnsi="Times New Roman"/>
          <w:bCs/>
          <w:sz w:val="24"/>
          <w:szCs w:val="24"/>
        </w:rPr>
        <w:t>индекс объёмов</w:t>
      </w:r>
      <w:r w:rsidRPr="009F02E2">
        <w:rPr>
          <w:rFonts w:ascii="Times New Roman" w:hAnsi="Times New Roman"/>
          <w:sz w:val="24"/>
          <w:szCs w:val="24"/>
        </w:rPr>
        <w:t xml:space="preserve"> планируется на уровне 300%; 136%; 125% ежегодно.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- </w:t>
      </w:r>
      <w:r w:rsidRPr="009F02E2">
        <w:rPr>
          <w:rFonts w:ascii="Times New Roman" w:hAnsi="Times New Roman"/>
          <w:b/>
          <w:iCs/>
          <w:sz w:val="24"/>
          <w:szCs w:val="24"/>
        </w:rPr>
        <w:t>«</w:t>
      </w:r>
      <w:r w:rsidRPr="009F02E2">
        <w:rPr>
          <w:rFonts w:ascii="Times New Roman" w:hAnsi="Times New Roman"/>
          <w:b/>
          <w:i/>
          <w:iCs/>
          <w:sz w:val="24"/>
          <w:szCs w:val="24"/>
        </w:rPr>
        <w:t>Производство пищевых продуктов</w:t>
      </w:r>
      <w:r w:rsidRPr="009F02E2">
        <w:rPr>
          <w:rFonts w:ascii="Times New Roman" w:hAnsi="Times New Roman"/>
          <w:b/>
          <w:iCs/>
          <w:sz w:val="24"/>
          <w:szCs w:val="24"/>
        </w:rPr>
        <w:t>»:</w:t>
      </w:r>
      <w:r w:rsidRPr="009F02E2">
        <w:rPr>
          <w:rFonts w:ascii="Times New Roman" w:hAnsi="Times New Roman"/>
          <w:sz w:val="24"/>
          <w:szCs w:val="24"/>
        </w:rPr>
        <w:t xml:space="preserve"> 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в этом виде экономической деятельности учитываются объёмы </w:t>
      </w:r>
      <w:r w:rsidRPr="009F02E2">
        <w:rPr>
          <w:rFonts w:ascii="Times New Roman" w:hAnsi="Times New Roman"/>
          <w:bCs/>
          <w:sz w:val="24"/>
          <w:szCs w:val="24"/>
        </w:rPr>
        <w:t xml:space="preserve">ООО «Тихвинский </w:t>
      </w:r>
      <w:proofErr w:type="spellStart"/>
      <w:r w:rsidRPr="009F02E2">
        <w:rPr>
          <w:rFonts w:ascii="Times New Roman" w:hAnsi="Times New Roman"/>
          <w:bCs/>
          <w:sz w:val="24"/>
          <w:szCs w:val="24"/>
        </w:rPr>
        <w:t>хлебокомбинат</w:t>
      </w:r>
      <w:proofErr w:type="spellEnd"/>
      <w:r w:rsidRPr="009F02E2">
        <w:rPr>
          <w:rFonts w:ascii="Times New Roman" w:hAnsi="Times New Roman"/>
          <w:bCs/>
          <w:sz w:val="24"/>
          <w:szCs w:val="24"/>
        </w:rPr>
        <w:t>», ООО «ЛЕНТА»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F02E2">
        <w:rPr>
          <w:rFonts w:ascii="Times New Roman" w:hAnsi="Times New Roman"/>
          <w:bCs/>
          <w:color w:val="000000"/>
          <w:sz w:val="24"/>
          <w:szCs w:val="24"/>
        </w:rPr>
        <w:t>За 1 полугодие 2023 года показатели объёмов производства составили 93,6</w:t>
      </w:r>
      <w:r w:rsidRPr="009F02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02E2">
        <w:rPr>
          <w:rFonts w:ascii="Times New Roman" w:hAnsi="Times New Roman"/>
          <w:bCs/>
          <w:color w:val="000000"/>
          <w:sz w:val="24"/>
          <w:szCs w:val="24"/>
        </w:rPr>
        <w:t>млн. руб.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По оценке 2023 года объём отгрузки составит 200,8 млн. руб. В прогнозируемом периоде 2024 - 2026 гг. </w:t>
      </w:r>
      <w:r w:rsidRPr="009F02E2">
        <w:rPr>
          <w:rFonts w:ascii="Times New Roman" w:hAnsi="Times New Roman"/>
          <w:bCs/>
          <w:sz w:val="24"/>
          <w:szCs w:val="24"/>
        </w:rPr>
        <w:t>индекс объёмов</w:t>
      </w:r>
      <w:r w:rsidRPr="009F02E2">
        <w:rPr>
          <w:rFonts w:ascii="Times New Roman" w:hAnsi="Times New Roman"/>
          <w:sz w:val="24"/>
          <w:szCs w:val="24"/>
        </w:rPr>
        <w:t xml:space="preserve"> планируется на уровне 102% ежегодно.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- </w:t>
      </w:r>
      <w:r w:rsidRPr="009F02E2">
        <w:rPr>
          <w:rFonts w:ascii="Times New Roman" w:hAnsi="Times New Roman"/>
          <w:b/>
          <w:i/>
          <w:iCs/>
          <w:sz w:val="24"/>
          <w:szCs w:val="24"/>
        </w:rPr>
        <w:t>«Производство одежды»</w:t>
      </w:r>
      <w:r w:rsidRPr="009F02E2">
        <w:rPr>
          <w:rFonts w:ascii="Times New Roman" w:hAnsi="Times New Roman"/>
          <w:iCs/>
          <w:sz w:val="24"/>
          <w:szCs w:val="24"/>
        </w:rPr>
        <w:t xml:space="preserve">: </w:t>
      </w:r>
      <w:r w:rsidRPr="009F02E2">
        <w:rPr>
          <w:rFonts w:ascii="Times New Roman" w:hAnsi="Times New Roman"/>
          <w:sz w:val="24"/>
          <w:szCs w:val="24"/>
        </w:rPr>
        <w:t>основные предприятия - ООО «</w:t>
      </w:r>
      <w:proofErr w:type="spellStart"/>
      <w:r w:rsidRPr="009F02E2">
        <w:rPr>
          <w:rFonts w:ascii="Times New Roman" w:hAnsi="Times New Roman"/>
          <w:sz w:val="24"/>
          <w:szCs w:val="24"/>
        </w:rPr>
        <w:t>Комацо</w:t>
      </w:r>
      <w:proofErr w:type="spellEnd"/>
      <w:r w:rsidRPr="009F02E2">
        <w:rPr>
          <w:rFonts w:ascii="Times New Roman" w:hAnsi="Times New Roman"/>
          <w:sz w:val="24"/>
          <w:szCs w:val="24"/>
        </w:rPr>
        <w:t>», ООО «Восход», ООО «</w:t>
      </w:r>
      <w:proofErr w:type="spellStart"/>
      <w:r w:rsidRPr="009F02E2">
        <w:rPr>
          <w:rFonts w:ascii="Times New Roman" w:hAnsi="Times New Roman"/>
          <w:sz w:val="24"/>
          <w:szCs w:val="24"/>
        </w:rPr>
        <w:t>Сканвоквэр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». За 2022 год объём отгруженных товаров собственного производства составил 584,4 млн. руб. (138,1% к АППГ). </w:t>
      </w:r>
    </w:p>
    <w:p w:rsidR="009F02E2" w:rsidRPr="009F02E2" w:rsidRDefault="009F02E2" w:rsidP="009F02E2">
      <w:pPr>
        <w:keepNext/>
        <w:keepLines/>
        <w:ind w:firstLine="720"/>
        <w:jc w:val="both"/>
        <w:textAlignment w:val="center"/>
        <w:outlineLvl w:val="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color w:val="000000"/>
          <w:sz w:val="24"/>
          <w:szCs w:val="24"/>
        </w:rPr>
        <w:t>За 1 полугодие 2023 г. объём отгруженных товаров собственного производства составил – 226,4 млн. рублей (94,8% к АППГ).</w:t>
      </w:r>
      <w:r w:rsidRPr="009F02E2">
        <w:rPr>
          <w:rFonts w:ascii="Times New Roman" w:hAnsi="Times New Roman"/>
          <w:sz w:val="24"/>
          <w:szCs w:val="24"/>
        </w:rPr>
        <w:t xml:space="preserve"> </w:t>
      </w:r>
    </w:p>
    <w:p w:rsidR="009F02E2" w:rsidRPr="009F02E2" w:rsidRDefault="009F02E2" w:rsidP="009F02E2">
      <w:pPr>
        <w:keepNext/>
        <w:keepLines/>
        <w:ind w:firstLine="720"/>
        <w:jc w:val="both"/>
        <w:textAlignment w:val="center"/>
        <w:outlineLvl w:val="0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color w:val="000000"/>
          <w:sz w:val="24"/>
          <w:szCs w:val="24"/>
        </w:rPr>
        <w:t>Основной объём продукции этого вида экономической деятельности, около 60% (136,8 млн. руб.), приходится на ООО «</w:t>
      </w:r>
      <w:proofErr w:type="spellStart"/>
      <w:r w:rsidRPr="009F02E2">
        <w:rPr>
          <w:rFonts w:ascii="Times New Roman" w:hAnsi="Times New Roman"/>
          <w:color w:val="000000"/>
          <w:sz w:val="24"/>
          <w:szCs w:val="24"/>
        </w:rPr>
        <w:t>Комацо</w:t>
      </w:r>
      <w:proofErr w:type="spellEnd"/>
      <w:r w:rsidRPr="009F02E2">
        <w:rPr>
          <w:rFonts w:ascii="Times New Roman" w:hAnsi="Times New Roman"/>
          <w:color w:val="000000"/>
          <w:sz w:val="24"/>
          <w:szCs w:val="24"/>
        </w:rPr>
        <w:t>» - российско-германское предприятие, трикотажная фабрика полного цикла по производству повседневного и функционального белья и полотна.</w:t>
      </w:r>
      <w:r w:rsidRPr="009F02E2">
        <w:rPr>
          <w:rFonts w:ascii="Times New Roman" w:hAnsi="Times New Roman"/>
          <w:sz w:val="24"/>
          <w:szCs w:val="24"/>
        </w:rPr>
        <w:t> </w:t>
      </w: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i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По оценке в 2023 году объём составит 50,5%. В прогнозируемом периоде 2024 - 2026 гг. </w:t>
      </w:r>
      <w:r w:rsidRPr="009F02E2">
        <w:rPr>
          <w:rFonts w:ascii="Times New Roman" w:hAnsi="Times New Roman"/>
          <w:bCs/>
          <w:sz w:val="24"/>
          <w:szCs w:val="24"/>
        </w:rPr>
        <w:t>индекс объёмов</w:t>
      </w:r>
      <w:r w:rsidRPr="009F02E2">
        <w:rPr>
          <w:rFonts w:ascii="Times New Roman" w:hAnsi="Times New Roman"/>
          <w:sz w:val="24"/>
          <w:szCs w:val="24"/>
        </w:rPr>
        <w:t xml:space="preserve"> планируется на уровне 102% ежегодно.</w:t>
      </w:r>
    </w:p>
    <w:p w:rsidR="009F02E2" w:rsidRPr="009F02E2" w:rsidRDefault="009F02E2" w:rsidP="009F02E2">
      <w:pPr>
        <w:ind w:left="2832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F02E2">
        <w:rPr>
          <w:rFonts w:ascii="Times New Roman" w:hAnsi="Times New Roman"/>
          <w:b/>
          <w:sz w:val="24"/>
          <w:szCs w:val="24"/>
        </w:rPr>
        <w:lastRenderedPageBreak/>
        <w:t>Строительство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На территории Тихвинского городского поселения органом государственной статистики осуществляется статистическое наблюдение по 2 предприятиям (ГАЗПРОМ ГАЗОРАСПРЕДЕЛЕНИЕ И МБУ «Зелёный город»), которые заявляют о деятельности в строительной отрасли. За 2022 год предприятиями этой отрасли выполнены работы, услуги на сумму 79,5 млн. руб., в сопоставимых ценах составило 99% к соответствующему периоду прошлого года. 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F02E2">
        <w:rPr>
          <w:rFonts w:ascii="Times New Roman" w:hAnsi="Times New Roman"/>
          <w:b/>
          <w:sz w:val="24"/>
          <w:szCs w:val="24"/>
        </w:rPr>
        <w:t xml:space="preserve">За 1 полугодие 2023 года </w:t>
      </w:r>
      <w:r w:rsidRPr="009F02E2">
        <w:rPr>
          <w:rFonts w:ascii="Times New Roman" w:hAnsi="Times New Roman"/>
          <w:sz w:val="24"/>
          <w:szCs w:val="24"/>
        </w:rPr>
        <w:t>предприятиями этой отрасли выполнены работы, услуги на сумму 43,7 млн. руб., что в сопоставимых ценах составило 142,8% к соответствующему периоду прошлого года.</w:t>
      </w:r>
      <w:r w:rsidRPr="009F02E2">
        <w:rPr>
          <w:rFonts w:ascii="Times New Roman" w:hAnsi="Times New Roman"/>
          <w:bCs/>
          <w:sz w:val="24"/>
          <w:szCs w:val="24"/>
        </w:rPr>
        <w:t xml:space="preserve"> К концу 2023 года ожидается на уровне 105% к </w:t>
      </w:r>
      <w:r w:rsidRPr="009F02E2">
        <w:rPr>
          <w:rFonts w:ascii="Times New Roman" w:hAnsi="Times New Roman"/>
          <w:sz w:val="24"/>
          <w:szCs w:val="24"/>
        </w:rPr>
        <w:t>АППГ.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За 2022 год введено в действие жилых домов общей (полезной) площадью 22,2 тыс. кв. метров.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Ввод в действие жилых домов за 1 полугодие 2023 года составил 4,3 тыс. кв. метров общей (полезной) площади. Ожидается, что объём введённого жилья в целом по году составит 11 тыс. кв. м.</w:t>
      </w:r>
    </w:p>
    <w:p w:rsidR="009F02E2" w:rsidRPr="009F02E2" w:rsidRDefault="009F02E2" w:rsidP="009F02E2">
      <w:pPr>
        <w:jc w:val="both"/>
        <w:rPr>
          <w:rFonts w:ascii="Times New Roman" w:hAnsi="Times New Roman"/>
          <w:bCs/>
          <w:sz w:val="24"/>
          <w:szCs w:val="24"/>
        </w:rPr>
      </w:pPr>
    </w:p>
    <w:p w:rsidR="009F02E2" w:rsidRPr="009F02E2" w:rsidRDefault="009F02E2" w:rsidP="00F0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02E2">
        <w:rPr>
          <w:rFonts w:ascii="Times New Roman" w:hAnsi="Times New Roman"/>
          <w:b/>
          <w:bCs/>
          <w:sz w:val="24"/>
          <w:szCs w:val="24"/>
        </w:rPr>
        <w:t>Малый бизнес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поселения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поселения.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iCs/>
          <w:sz w:val="24"/>
          <w:szCs w:val="24"/>
        </w:rPr>
      </w:pPr>
      <w:r w:rsidRPr="009F02E2">
        <w:rPr>
          <w:rFonts w:ascii="Times New Roman" w:hAnsi="Times New Roman"/>
          <w:iCs/>
          <w:sz w:val="24"/>
          <w:szCs w:val="24"/>
        </w:rPr>
        <w:t xml:space="preserve">В течение 2022 года 3 субъекта малого и среднего предпринимательства поселения получили финансовую поддержку на сумму более 1,2 млн руб.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В поселении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  <w:r w:rsidRPr="009F02E2">
        <w:rPr>
          <w:rFonts w:ascii="Times New Roman" w:hAnsi="Times New Roman"/>
          <w:bCs/>
          <w:sz w:val="24"/>
          <w:szCs w:val="24"/>
        </w:rPr>
        <w:t xml:space="preserve">  </w:t>
      </w:r>
    </w:p>
    <w:p w:rsidR="009F02E2" w:rsidRPr="009F02E2" w:rsidRDefault="009F02E2" w:rsidP="009F02E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02E2" w:rsidRPr="009F02E2" w:rsidRDefault="009F02E2" w:rsidP="00F03E70">
      <w:pPr>
        <w:jc w:val="center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b/>
          <w:bCs/>
          <w:sz w:val="24"/>
          <w:szCs w:val="24"/>
        </w:rPr>
        <w:t>Потребительский рынок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Основные показатели, характеризующие динамику развития потребительского рынка поселения за 2022 год по </w:t>
      </w:r>
      <w:r w:rsidRPr="009F02E2">
        <w:rPr>
          <w:rFonts w:ascii="Times New Roman" w:hAnsi="Times New Roman"/>
          <w:sz w:val="24"/>
          <w:szCs w:val="24"/>
          <w:u w:val="single"/>
        </w:rPr>
        <w:t>крупным и средним предприятиям и организациям</w:t>
      </w:r>
      <w:r w:rsidRPr="009F02E2">
        <w:rPr>
          <w:rFonts w:ascii="Times New Roman" w:hAnsi="Times New Roman"/>
          <w:sz w:val="24"/>
          <w:szCs w:val="24"/>
        </w:rPr>
        <w:t xml:space="preserve">, учитываемым органом </w:t>
      </w:r>
      <w:proofErr w:type="spellStart"/>
      <w:r w:rsidRPr="009F02E2">
        <w:rPr>
          <w:rFonts w:ascii="Times New Roman" w:hAnsi="Times New Roman"/>
          <w:sz w:val="24"/>
          <w:szCs w:val="24"/>
        </w:rPr>
        <w:t>Госстатистики</w:t>
      </w:r>
      <w:proofErr w:type="spellEnd"/>
      <w:r w:rsidRPr="009F02E2">
        <w:rPr>
          <w:rFonts w:ascii="Times New Roman" w:hAnsi="Times New Roman"/>
          <w:sz w:val="24"/>
          <w:szCs w:val="24"/>
        </w:rPr>
        <w:t>, в сопоставимых ценах:</w:t>
      </w:r>
    </w:p>
    <w:p w:rsidR="009F02E2" w:rsidRPr="009F02E2" w:rsidRDefault="009F02E2" w:rsidP="009F02E2">
      <w:pPr>
        <w:ind w:firstLine="6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90"/>
        <w:gridCol w:w="3735"/>
      </w:tblGrid>
      <w:tr w:rsidR="009F02E2" w:rsidRPr="009F02E2" w:rsidTr="0010230C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>-   11 569,2 млн. руб. (106%)</w:t>
            </w:r>
          </w:p>
        </w:tc>
      </w:tr>
      <w:tr w:rsidR="009F02E2" w:rsidRPr="009F02E2" w:rsidTr="0010230C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 xml:space="preserve">Объём платных услуг населению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>-   816,1 млн. руб. (155,5%)</w:t>
            </w:r>
          </w:p>
        </w:tc>
      </w:tr>
    </w:tbl>
    <w:p w:rsidR="009F02E2" w:rsidRPr="009F02E2" w:rsidRDefault="009F02E2" w:rsidP="009F02E2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ab/>
      </w:r>
    </w:p>
    <w:p w:rsidR="009F02E2" w:rsidRPr="009F02E2" w:rsidRDefault="009F02E2" w:rsidP="009F02E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Оценочные показатели развития потребительского рынка поселения по крупным и средним предприятиям </w:t>
      </w:r>
      <w:r w:rsidRPr="009F02E2">
        <w:rPr>
          <w:rFonts w:ascii="Times New Roman" w:hAnsi="Times New Roman"/>
          <w:b/>
          <w:sz w:val="24"/>
          <w:szCs w:val="24"/>
        </w:rPr>
        <w:t>за 2023</w:t>
      </w:r>
      <w:r w:rsidRPr="009F02E2">
        <w:rPr>
          <w:rFonts w:ascii="Times New Roman" w:hAnsi="Times New Roman"/>
          <w:sz w:val="24"/>
          <w:szCs w:val="24"/>
        </w:rPr>
        <w:t xml:space="preserve"> год: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80"/>
        <w:gridCol w:w="3705"/>
      </w:tblGrid>
      <w:tr w:rsidR="009F02E2" w:rsidRPr="009F02E2" w:rsidTr="0010230C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>-10 649,1 млн. руб. (92%)</w:t>
            </w:r>
          </w:p>
        </w:tc>
      </w:tr>
      <w:tr w:rsidR="009F02E2" w:rsidRPr="009F02E2" w:rsidTr="0010230C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2E2" w:rsidRPr="009F02E2" w:rsidRDefault="009F02E2" w:rsidP="009F02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E2">
              <w:rPr>
                <w:rFonts w:ascii="Times New Roman" w:hAnsi="Times New Roman"/>
                <w:sz w:val="24"/>
                <w:szCs w:val="24"/>
              </w:rPr>
              <w:t>- 904,1 млн. руб. (110,8%)</w:t>
            </w:r>
          </w:p>
        </w:tc>
      </w:tr>
    </w:tbl>
    <w:p w:rsidR="009F02E2" w:rsidRPr="009F02E2" w:rsidRDefault="009F02E2" w:rsidP="009F02E2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F02E2" w:rsidRPr="009F02E2" w:rsidRDefault="009F02E2" w:rsidP="00F0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02E2">
        <w:rPr>
          <w:rFonts w:ascii="Times New Roman" w:hAnsi="Times New Roman"/>
          <w:b/>
          <w:bCs/>
          <w:sz w:val="24"/>
          <w:szCs w:val="24"/>
        </w:rPr>
        <w:t>Инвестиции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По данным </w:t>
      </w:r>
      <w:proofErr w:type="spellStart"/>
      <w:r w:rsidRPr="009F02E2">
        <w:rPr>
          <w:rFonts w:ascii="Times New Roman" w:hAnsi="Times New Roman"/>
          <w:sz w:val="24"/>
          <w:szCs w:val="24"/>
        </w:rPr>
        <w:t>Петростата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 общий объём инвестиций в основной капитал крупных и средних предприятий и организаций Тихвинского городского поселения за январь-декабрь 2022 года составил 2 362,2 млн. руб., что составило 97,3% к уровню АППГ.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За </w:t>
      </w:r>
      <w:r w:rsidRPr="009F02E2">
        <w:rPr>
          <w:rFonts w:ascii="Times New Roman" w:hAnsi="Times New Roman"/>
          <w:b/>
          <w:sz w:val="24"/>
          <w:szCs w:val="24"/>
        </w:rPr>
        <w:t>январь - июнь 2023</w:t>
      </w:r>
      <w:r w:rsidRPr="009F02E2">
        <w:rPr>
          <w:rFonts w:ascii="Times New Roman" w:hAnsi="Times New Roman"/>
          <w:sz w:val="24"/>
          <w:szCs w:val="24"/>
        </w:rPr>
        <w:t xml:space="preserve"> года общий объём инвестиций в основной капитал крупных и средних предприятий и организаций Тихвинского городского поселения составил 537,5 млн. руб., что составляет 87,9% АППГ.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– 356,2 млн. рублей, или 66,3% от общего объёма инвестиций. </w:t>
      </w:r>
      <w:r w:rsidRPr="009F02E2">
        <w:rPr>
          <w:rFonts w:ascii="Times New Roman" w:hAnsi="Times New Roman"/>
          <w:sz w:val="24"/>
          <w:szCs w:val="24"/>
        </w:rPr>
        <w:t xml:space="preserve">Объём привлеченных средств с начала года -  181,3 млн. рублей.  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 Инвестиции в основной капитал обрабатывающих производств продолжают иметь значительный вес в общем показателе, из общей суммы инвестиций их доля составила 37,5%. 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На основании информации об основных производственных и экономических показателях, представленных предприятиями района и оценке полученных статистических данных, по итогам 2023 года ожидается рост объёма инвестиций до 2,5 млрд. руб. или 105,9% к АППГ. 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Распределение объёма инвестиций в основной капитал в 2023 году по видам экономической деятельности оценивается следующим образом: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обрабатывающая промышленность – 1080,8 млн руб. (или 44% от общего объёма инвестиций в основной капитал);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обеспечение электроэнергией, газом и паром – 217,3 млн руб. (8%);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водоснабжение, водоотведение – 40 млн руб. (1,6%);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- операции с недвижимым имуществом – 66 млн руб. (2,6%);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 - прочая деятельность – 1 098,4 млн руб. (43,8%).</w:t>
      </w:r>
    </w:p>
    <w:p w:rsidR="009F02E2" w:rsidRPr="009F02E2" w:rsidRDefault="009F02E2" w:rsidP="009F02E2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По источникам финансирования инвестиции в </w:t>
      </w:r>
      <w:r w:rsidRPr="009F02E2">
        <w:rPr>
          <w:rFonts w:ascii="Times New Roman" w:hAnsi="Times New Roman"/>
          <w:b/>
          <w:sz w:val="24"/>
          <w:szCs w:val="24"/>
        </w:rPr>
        <w:t>2023 году</w:t>
      </w:r>
      <w:r w:rsidRPr="009F02E2">
        <w:rPr>
          <w:rFonts w:ascii="Times New Roman" w:hAnsi="Times New Roman"/>
          <w:sz w:val="24"/>
          <w:szCs w:val="24"/>
        </w:rPr>
        <w:t xml:space="preserve"> будут распределяться следующим образом - большей частью собственные средства предприятий – 65%, привлеченные средства - 35%. </w:t>
      </w:r>
    </w:p>
    <w:p w:rsidR="009F02E2" w:rsidRPr="009F02E2" w:rsidRDefault="009F02E2" w:rsidP="009F02E2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ab/>
      </w:r>
    </w:p>
    <w:p w:rsidR="009F02E2" w:rsidRPr="009F02E2" w:rsidRDefault="009F02E2" w:rsidP="00F0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02E2">
        <w:rPr>
          <w:rFonts w:ascii="Times New Roman" w:hAnsi="Times New Roman"/>
          <w:b/>
          <w:bCs/>
          <w:sz w:val="24"/>
          <w:szCs w:val="24"/>
        </w:rPr>
        <w:t>Труд и занятость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9F02E2">
        <w:rPr>
          <w:rFonts w:ascii="Times New Roman" w:hAnsi="Times New Roman"/>
          <w:sz w:val="24"/>
          <w:szCs w:val="24"/>
          <w:u w:val="single"/>
        </w:rPr>
        <w:t>Основные тенденции развития рынка труда в 2022 г.:</w:t>
      </w:r>
    </w:p>
    <w:p w:rsidR="009F02E2" w:rsidRPr="009F02E2" w:rsidRDefault="009F02E2" w:rsidP="009F02E2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i/>
          <w:sz w:val="24"/>
          <w:szCs w:val="24"/>
        </w:rPr>
        <w:t>Уровень регистрируемой безработицы</w:t>
      </w:r>
      <w:r w:rsidRPr="009F02E2">
        <w:rPr>
          <w:rFonts w:ascii="Times New Roman" w:hAnsi="Times New Roman"/>
          <w:sz w:val="24"/>
          <w:szCs w:val="24"/>
        </w:rPr>
        <w:t xml:space="preserve"> в Тихвинском городском поселении на 01.01.2023 составил 0,6% (на 0,03 п/п ниже к 01.01.2022 – 0,57%);</w:t>
      </w:r>
    </w:p>
    <w:p w:rsidR="009F02E2" w:rsidRPr="009F02E2" w:rsidRDefault="009F02E2" w:rsidP="009F02E2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9F02E2">
        <w:rPr>
          <w:rFonts w:ascii="Times New Roman" w:hAnsi="Times New Roman"/>
          <w:i/>
          <w:sz w:val="24"/>
          <w:szCs w:val="24"/>
        </w:rPr>
        <w:t>Число зарегистрированных безработных</w:t>
      </w:r>
      <w:r w:rsidRPr="009F02E2">
        <w:rPr>
          <w:rFonts w:ascii="Times New Roman" w:hAnsi="Times New Roman"/>
          <w:sz w:val="24"/>
          <w:szCs w:val="24"/>
        </w:rPr>
        <w:t xml:space="preserve"> – </w:t>
      </w:r>
      <w:r w:rsidRPr="009F02E2">
        <w:rPr>
          <w:rFonts w:ascii="Times New Roman" w:hAnsi="Times New Roman"/>
          <w:i/>
          <w:sz w:val="24"/>
          <w:szCs w:val="24"/>
        </w:rPr>
        <w:t>221 человек</w:t>
      </w:r>
      <w:r w:rsidRPr="009F02E2">
        <w:rPr>
          <w:rFonts w:ascii="Times New Roman" w:hAnsi="Times New Roman"/>
          <w:sz w:val="24"/>
          <w:szCs w:val="24"/>
        </w:rPr>
        <w:t>. По сравнению с началом 2022 года – увеличение на 23 человека;</w:t>
      </w:r>
    </w:p>
    <w:p w:rsidR="009F02E2" w:rsidRPr="009F02E2" w:rsidRDefault="009F02E2" w:rsidP="009F02E2">
      <w:pPr>
        <w:numPr>
          <w:ilvl w:val="0"/>
          <w:numId w:val="3"/>
        </w:numPr>
        <w:tabs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 </w:t>
      </w:r>
      <w:r w:rsidRPr="009F02E2">
        <w:rPr>
          <w:rFonts w:ascii="Times New Roman" w:hAnsi="Times New Roman"/>
          <w:i/>
          <w:sz w:val="24"/>
          <w:szCs w:val="24"/>
        </w:rPr>
        <w:t>Напряженность на рынке труда</w:t>
      </w:r>
      <w:r w:rsidRPr="009F02E2">
        <w:rPr>
          <w:rFonts w:ascii="Times New Roman" w:hAnsi="Times New Roman"/>
          <w:sz w:val="24"/>
          <w:szCs w:val="24"/>
        </w:rPr>
        <w:t xml:space="preserve"> на 01.01.2023 года составила </w:t>
      </w:r>
      <w:r w:rsidRPr="009F02E2">
        <w:rPr>
          <w:rFonts w:ascii="Times New Roman" w:hAnsi="Times New Roman"/>
          <w:i/>
          <w:sz w:val="24"/>
          <w:szCs w:val="24"/>
        </w:rPr>
        <w:t>0,2 человека</w:t>
      </w:r>
      <w:r w:rsidRPr="009F02E2">
        <w:rPr>
          <w:rFonts w:ascii="Times New Roman" w:hAnsi="Times New Roman"/>
          <w:sz w:val="24"/>
          <w:szCs w:val="24"/>
        </w:rPr>
        <w:t xml:space="preserve"> на одну вакансию. Количество вакансий значительно выросло и достигло 1 016 единиц, предоставленных 120 работодателями. Среди всех отраслей экономики, наибольшую потребность в кадрах испытывали предприятия обрабатывающих производств.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i/>
          <w:sz w:val="24"/>
          <w:szCs w:val="24"/>
        </w:rPr>
        <w:t>Численность занятого в экономике населения</w:t>
      </w:r>
      <w:r w:rsidRPr="009F02E2">
        <w:rPr>
          <w:rFonts w:ascii="Times New Roman" w:hAnsi="Times New Roman"/>
          <w:sz w:val="24"/>
          <w:szCs w:val="24"/>
        </w:rPr>
        <w:t xml:space="preserve"> на начало 2023 г. была </w:t>
      </w:r>
      <w:r w:rsidRPr="009F02E2">
        <w:rPr>
          <w:rFonts w:ascii="Times New Roman" w:hAnsi="Times New Roman"/>
          <w:i/>
          <w:sz w:val="24"/>
          <w:szCs w:val="24"/>
        </w:rPr>
        <w:t>32 420 человек</w:t>
      </w:r>
      <w:r w:rsidRPr="009F02E2">
        <w:rPr>
          <w:rFonts w:ascii="Times New Roman" w:hAnsi="Times New Roman"/>
          <w:sz w:val="24"/>
          <w:szCs w:val="24"/>
        </w:rPr>
        <w:t xml:space="preserve">.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lastRenderedPageBreak/>
        <w:t xml:space="preserve">Среднесписочная численность работников крупных и средних предприятий и организаций в 2022 г. составила 18 004 человека или 95% к аналогичному периоду прошлого года.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Положительно воздействовал на состояние рынка труда комплекс мероприятий по поддержанию и расширению занятости населения, проводимых службой занятости и ее социальными партнерами в рамках реализации государственной программы «Содействие занятости населения Ленинградской области».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114 человек направлены на профессиональное обучение и получение дополнительного профессионального</w:t>
      </w:r>
      <w:r w:rsidRPr="009F02E2">
        <w:rPr>
          <w:rFonts w:ascii="Times New Roman" w:hAnsi="Times New Roman"/>
          <w:bCs/>
          <w:sz w:val="24"/>
          <w:szCs w:val="24"/>
        </w:rPr>
        <w:t>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138 человек трудоустроено на временные оплачиваемые общественные работы. 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По результатам профессионального отбора и профессиональных консультаций 26 человек были направлены на обучение в Учебно-деловой центр по теме «Введение в предпринимательство».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В рамках реализации проекта «Займись делом» - выведение «из тени» </w:t>
      </w:r>
      <w:proofErr w:type="spellStart"/>
      <w:r w:rsidRPr="009F02E2">
        <w:rPr>
          <w:rFonts w:ascii="Times New Roman" w:hAnsi="Times New Roman"/>
          <w:sz w:val="24"/>
          <w:szCs w:val="24"/>
        </w:rPr>
        <w:t>самозанятых</w:t>
      </w:r>
      <w:proofErr w:type="spellEnd"/>
      <w:r w:rsidRPr="009F02E2">
        <w:rPr>
          <w:rFonts w:ascii="Times New Roman" w:hAnsi="Times New Roman"/>
          <w:sz w:val="24"/>
          <w:szCs w:val="24"/>
        </w:rPr>
        <w:t xml:space="preserve"> граждан - 15 человек оформили ИП.</w:t>
      </w:r>
    </w:p>
    <w:p w:rsidR="009F02E2" w:rsidRPr="009F02E2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Одно из значимых направлений программы - создание специализированных рабочих мест и содействие трудоустройству инвалидов. За 2022 год с помощью ЦЗН нашли работу 35 инвалидов, в том числе 2 человека были трудоустроены на созданные для них рабочие места. </w:t>
      </w:r>
    </w:p>
    <w:p w:rsidR="009F02E2" w:rsidRPr="009F02E2" w:rsidRDefault="009F02E2" w:rsidP="009F02E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Всего за год трудоустроено 1 016 человек. </w:t>
      </w:r>
    </w:p>
    <w:p w:rsidR="009F02E2" w:rsidRPr="009F02E2" w:rsidRDefault="009F02E2" w:rsidP="009F02E2">
      <w:pPr>
        <w:tabs>
          <w:tab w:val="num" w:pos="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>По оценке к концу 2023 года уровень регистрируемой безработицы может уменьшиться до 0,3% при численности официально зарегистрированных безработных 120 человек.</w:t>
      </w:r>
    </w:p>
    <w:p w:rsidR="009F02E2" w:rsidRPr="009F02E2" w:rsidRDefault="009F02E2" w:rsidP="009F02E2">
      <w:pPr>
        <w:tabs>
          <w:tab w:val="num" w:pos="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F02E2">
        <w:rPr>
          <w:rFonts w:ascii="Times New Roman" w:hAnsi="Times New Roman"/>
          <w:sz w:val="24"/>
          <w:szCs w:val="24"/>
        </w:rPr>
        <w:t xml:space="preserve">Прогноз рынка труда опирается на позитивные ожидания в развитии всех сфер экономики региона, а также в части развития рынка труда (сохранение стабильности на рынке труда региона при некотором снижении безработицы). </w:t>
      </w:r>
    </w:p>
    <w:sectPr w:rsidR="009F02E2" w:rsidRPr="009F02E2" w:rsidSect="00F03E70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C0"/>
    <w:rsid w:val="00014832"/>
    <w:rsid w:val="00096423"/>
    <w:rsid w:val="000A37FF"/>
    <w:rsid w:val="000B5527"/>
    <w:rsid w:val="000D25CA"/>
    <w:rsid w:val="000F17CC"/>
    <w:rsid w:val="00100831"/>
    <w:rsid w:val="00116926"/>
    <w:rsid w:val="001217B1"/>
    <w:rsid w:val="00161211"/>
    <w:rsid w:val="001814DD"/>
    <w:rsid w:val="001C378F"/>
    <w:rsid w:val="001C4674"/>
    <w:rsid w:val="001D3DE3"/>
    <w:rsid w:val="001E2F6B"/>
    <w:rsid w:val="001E393A"/>
    <w:rsid w:val="001E66FB"/>
    <w:rsid w:val="001F2AEF"/>
    <w:rsid w:val="00203335"/>
    <w:rsid w:val="00276AEA"/>
    <w:rsid w:val="00284424"/>
    <w:rsid w:val="002C7421"/>
    <w:rsid w:val="002D4F01"/>
    <w:rsid w:val="002E33A0"/>
    <w:rsid w:val="0031777A"/>
    <w:rsid w:val="00330E62"/>
    <w:rsid w:val="00385144"/>
    <w:rsid w:val="0038633A"/>
    <w:rsid w:val="003B5AF1"/>
    <w:rsid w:val="003C3EFB"/>
    <w:rsid w:val="003C4DF9"/>
    <w:rsid w:val="003F4B6B"/>
    <w:rsid w:val="00417019"/>
    <w:rsid w:val="00435223"/>
    <w:rsid w:val="0047060F"/>
    <w:rsid w:val="0048527A"/>
    <w:rsid w:val="00490F87"/>
    <w:rsid w:val="00495C32"/>
    <w:rsid w:val="004B2319"/>
    <w:rsid w:val="004D0DAD"/>
    <w:rsid w:val="00506D17"/>
    <w:rsid w:val="00514719"/>
    <w:rsid w:val="005510CF"/>
    <w:rsid w:val="0056127B"/>
    <w:rsid w:val="00562869"/>
    <w:rsid w:val="0057724D"/>
    <w:rsid w:val="005851A1"/>
    <w:rsid w:val="00586A2A"/>
    <w:rsid w:val="005B60B2"/>
    <w:rsid w:val="005C0EE8"/>
    <w:rsid w:val="005F1301"/>
    <w:rsid w:val="006002B9"/>
    <w:rsid w:val="00641763"/>
    <w:rsid w:val="007335AE"/>
    <w:rsid w:val="00743A71"/>
    <w:rsid w:val="007B3D23"/>
    <w:rsid w:val="007F688B"/>
    <w:rsid w:val="008175C1"/>
    <w:rsid w:val="00832ADD"/>
    <w:rsid w:val="008527F8"/>
    <w:rsid w:val="00876D1E"/>
    <w:rsid w:val="00890352"/>
    <w:rsid w:val="008C5114"/>
    <w:rsid w:val="008C53A2"/>
    <w:rsid w:val="009215C7"/>
    <w:rsid w:val="00931CD3"/>
    <w:rsid w:val="00931DEB"/>
    <w:rsid w:val="00937CC5"/>
    <w:rsid w:val="00940D28"/>
    <w:rsid w:val="009465C0"/>
    <w:rsid w:val="00992BA0"/>
    <w:rsid w:val="00996980"/>
    <w:rsid w:val="009B67FF"/>
    <w:rsid w:val="009D26EE"/>
    <w:rsid w:val="009E4245"/>
    <w:rsid w:val="009F02E2"/>
    <w:rsid w:val="00A02CB2"/>
    <w:rsid w:val="00A102AF"/>
    <w:rsid w:val="00A15A51"/>
    <w:rsid w:val="00A3022E"/>
    <w:rsid w:val="00A306F3"/>
    <w:rsid w:val="00A63BB5"/>
    <w:rsid w:val="00A92025"/>
    <w:rsid w:val="00AE0EDF"/>
    <w:rsid w:val="00B07074"/>
    <w:rsid w:val="00B476A1"/>
    <w:rsid w:val="00B555B2"/>
    <w:rsid w:val="00BB41FD"/>
    <w:rsid w:val="00C375CC"/>
    <w:rsid w:val="00C410BB"/>
    <w:rsid w:val="00C44C6B"/>
    <w:rsid w:val="00CB1C10"/>
    <w:rsid w:val="00CD56C9"/>
    <w:rsid w:val="00CF7758"/>
    <w:rsid w:val="00D12016"/>
    <w:rsid w:val="00D17898"/>
    <w:rsid w:val="00D3785F"/>
    <w:rsid w:val="00D5025F"/>
    <w:rsid w:val="00D6418B"/>
    <w:rsid w:val="00D77CB8"/>
    <w:rsid w:val="00DA60B3"/>
    <w:rsid w:val="00DB234C"/>
    <w:rsid w:val="00DD60B4"/>
    <w:rsid w:val="00DE6C7F"/>
    <w:rsid w:val="00DF0E42"/>
    <w:rsid w:val="00DF2FF2"/>
    <w:rsid w:val="00DF3542"/>
    <w:rsid w:val="00E140CF"/>
    <w:rsid w:val="00E220D4"/>
    <w:rsid w:val="00E4033B"/>
    <w:rsid w:val="00E41B4D"/>
    <w:rsid w:val="00E51DBB"/>
    <w:rsid w:val="00E56D74"/>
    <w:rsid w:val="00E635A3"/>
    <w:rsid w:val="00E7050C"/>
    <w:rsid w:val="00E73700"/>
    <w:rsid w:val="00E93D25"/>
    <w:rsid w:val="00E96C66"/>
    <w:rsid w:val="00F03E70"/>
    <w:rsid w:val="00F31687"/>
    <w:rsid w:val="00F4425E"/>
    <w:rsid w:val="00F771D9"/>
    <w:rsid w:val="00F8721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52A5-AA1A-4B8B-BD4A-386272EA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3FF1B-43D8-4C2F-9BDD-5504727D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Никитина Т Н</cp:lastModifiedBy>
  <cp:revision>3</cp:revision>
  <cp:lastPrinted>2023-11-13T13:15:00Z</cp:lastPrinted>
  <dcterms:created xsi:type="dcterms:W3CDTF">2023-09-14T05:33:00Z</dcterms:created>
  <dcterms:modified xsi:type="dcterms:W3CDTF">2023-11-13T13:17:00Z</dcterms:modified>
</cp:coreProperties>
</file>