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sz w:val="28"/>
          <w:szCs w:val="20"/>
          <w:lang w:eastAsia="ru-RU"/>
        </w:rPr>
      </w:pPr>
      <w:r w:rsidRPr="00EE774C">
        <w:rPr>
          <w:rFonts w:ascii="Times New Roman" w:hAnsi="Times New Roman"/>
          <w:sz w:val="28"/>
        </w:rPr>
        <w:t>АДМИНИСТРАЦИЯ МУНИЦИПАЛЬНОГО ОБРАЗОВАНИЯ</w:t>
      </w: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sz w:val="28"/>
        </w:rPr>
      </w:pPr>
      <w:r w:rsidRPr="00EE774C">
        <w:rPr>
          <w:rFonts w:ascii="Times New Roman" w:hAnsi="Times New Roman"/>
          <w:sz w:val="28"/>
        </w:rPr>
        <w:t>ТИХВИНСКИЙ МУНИЦИПАЛЬНЫЙ РАЙОН</w:t>
      </w: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  <w:r w:rsidRPr="00EE774C">
        <w:rPr>
          <w:rFonts w:ascii="Times New Roman" w:hAnsi="Times New Roman"/>
          <w:sz w:val="28"/>
        </w:rPr>
        <w:t>ЛЕНИНГРАДСКОЙ ОБЛАСТИ</w:t>
      </w: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</w:p>
    <w:p w:rsidR="00E41B4D" w:rsidRPr="00EE774C" w:rsidRDefault="009B67FF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ПРЕДВАРИТЕЛЬНЫЕ </w:t>
      </w:r>
      <w:r w:rsidR="00E41B4D" w:rsidRPr="00EE774C">
        <w:rPr>
          <w:rFonts w:ascii="Times New Roman" w:hAnsi="Times New Roman"/>
          <w:b/>
          <w:sz w:val="32"/>
          <w:szCs w:val="32"/>
        </w:rPr>
        <w:t>ИТОГИ</w:t>
      </w: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  <w:r w:rsidRPr="00EE774C">
        <w:rPr>
          <w:rFonts w:ascii="Times New Roman" w:hAnsi="Times New Roman"/>
          <w:b/>
          <w:sz w:val="32"/>
          <w:szCs w:val="32"/>
        </w:rPr>
        <w:t>СОЦИАЛЬНО-ЭКОНОМИЧЕСКОГО РАЗВИТИЯ</w:t>
      </w:r>
    </w:p>
    <w:p w:rsidR="00E41B4D" w:rsidRPr="00EE774C" w:rsidRDefault="009B67FF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ТИХВИНСКОГО </w:t>
      </w:r>
      <w:r w:rsidR="00E41B4D">
        <w:rPr>
          <w:rFonts w:ascii="Times New Roman" w:hAnsi="Times New Roman"/>
          <w:b/>
          <w:sz w:val="40"/>
          <w:szCs w:val="40"/>
        </w:rPr>
        <w:t>РАЙОНА</w:t>
      </w: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  <w:r w:rsidRPr="00EE774C">
        <w:rPr>
          <w:rFonts w:ascii="Times New Roman" w:hAnsi="Times New Roman"/>
          <w:b/>
          <w:sz w:val="32"/>
          <w:szCs w:val="32"/>
        </w:rPr>
        <w:t>ЗА ИСТЕКШИЙ ПЕРИОД 20</w:t>
      </w:r>
      <w:r>
        <w:rPr>
          <w:rFonts w:ascii="Times New Roman" w:hAnsi="Times New Roman"/>
          <w:b/>
          <w:sz w:val="32"/>
          <w:szCs w:val="32"/>
        </w:rPr>
        <w:t>2</w:t>
      </w:r>
      <w:r w:rsidR="00AE0EDF" w:rsidRPr="00C44C6B">
        <w:rPr>
          <w:rFonts w:ascii="Times New Roman" w:hAnsi="Times New Roman"/>
          <w:b/>
          <w:sz w:val="32"/>
          <w:szCs w:val="32"/>
        </w:rPr>
        <w:t>3</w:t>
      </w:r>
      <w:r w:rsidRPr="00EE774C">
        <w:rPr>
          <w:rFonts w:ascii="Times New Roman" w:hAnsi="Times New Roman"/>
          <w:b/>
          <w:sz w:val="32"/>
          <w:szCs w:val="32"/>
        </w:rPr>
        <w:t xml:space="preserve"> года</w:t>
      </w: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  <w:r w:rsidRPr="00EE774C">
        <w:rPr>
          <w:rFonts w:ascii="Times New Roman" w:hAnsi="Times New Roman"/>
          <w:b/>
          <w:sz w:val="32"/>
          <w:szCs w:val="32"/>
        </w:rPr>
        <w:t>И ОЖИДАЕМЫЕ ИТОГИ</w:t>
      </w: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СОЦИАЛЬНО-ЭКОНОМ</w:t>
      </w:r>
      <w:r w:rsidRPr="00EE774C">
        <w:rPr>
          <w:rFonts w:ascii="Times New Roman" w:hAnsi="Times New Roman"/>
          <w:b/>
          <w:sz w:val="32"/>
          <w:szCs w:val="32"/>
        </w:rPr>
        <w:t>ИЧЕСКОГО РАЗВИТИЯ ЗА 20</w:t>
      </w:r>
      <w:r>
        <w:rPr>
          <w:rFonts w:ascii="Times New Roman" w:hAnsi="Times New Roman"/>
          <w:b/>
          <w:sz w:val="32"/>
          <w:szCs w:val="32"/>
        </w:rPr>
        <w:t>2</w:t>
      </w:r>
      <w:r w:rsidR="00AE0EDF" w:rsidRPr="00C44C6B">
        <w:rPr>
          <w:rFonts w:ascii="Times New Roman" w:hAnsi="Times New Roman"/>
          <w:b/>
          <w:sz w:val="32"/>
          <w:szCs w:val="32"/>
        </w:rPr>
        <w:t>3</w:t>
      </w:r>
      <w:r w:rsidRPr="00EE774C">
        <w:rPr>
          <w:rFonts w:ascii="Times New Roman" w:hAnsi="Times New Roman"/>
          <w:b/>
          <w:sz w:val="32"/>
          <w:szCs w:val="32"/>
        </w:rPr>
        <w:t xml:space="preserve"> год</w:t>
      </w: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:rsidR="00E41B4D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:rsidR="002C328D" w:rsidRPr="00EE774C" w:rsidRDefault="002C328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:rsidR="000A37FF" w:rsidRPr="001B4BAC" w:rsidRDefault="000A37FF" w:rsidP="000A37FF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bookmarkStart w:id="0" w:name="_GoBack"/>
      <w:bookmarkEnd w:id="0"/>
      <w:r w:rsidRPr="001B4BAC">
        <w:rPr>
          <w:rFonts w:ascii="Times New Roman" w:hAnsi="Times New Roman"/>
          <w:b/>
          <w:bCs/>
          <w:color w:val="000000" w:themeColor="text1"/>
          <w:sz w:val="28"/>
          <w:szCs w:val="28"/>
        </w:rPr>
        <w:lastRenderedPageBreak/>
        <w:t xml:space="preserve">Предварительные итоги </w:t>
      </w:r>
    </w:p>
    <w:p w:rsidR="000A37FF" w:rsidRPr="001B4BAC" w:rsidRDefault="000A37FF" w:rsidP="000A37FF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B4BAC">
        <w:rPr>
          <w:rFonts w:ascii="Times New Roman" w:hAnsi="Times New Roman"/>
          <w:b/>
          <w:bCs/>
          <w:color w:val="000000" w:themeColor="text1"/>
          <w:sz w:val="28"/>
          <w:szCs w:val="28"/>
        </w:rPr>
        <w:t>социально-экономического развития Тихвинского района за истекший период текущего финансового года и ожидаемые итоги социально- экономического развития за текущий финансовый год</w:t>
      </w:r>
    </w:p>
    <w:p w:rsidR="000A37FF" w:rsidRPr="001B4BAC" w:rsidRDefault="000A37FF" w:rsidP="000A37FF">
      <w:pPr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1B4BA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(ст. </w:t>
      </w:r>
      <w:r w:rsidR="00385144" w:rsidRPr="001B4BAC">
        <w:rPr>
          <w:rFonts w:ascii="Times New Roman" w:hAnsi="Times New Roman"/>
          <w:bCs/>
          <w:color w:val="000000" w:themeColor="text1"/>
          <w:sz w:val="28"/>
          <w:szCs w:val="28"/>
        </w:rPr>
        <w:t>32</w:t>
      </w:r>
      <w:r w:rsidRPr="001B4BAC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="00385144" w:rsidRPr="001B4BAC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Pr="001B4BA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Положения о бюджетном процессе)</w:t>
      </w:r>
    </w:p>
    <w:p w:rsidR="000A37FF" w:rsidRPr="001B4BAC" w:rsidRDefault="000A37FF" w:rsidP="000A37F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70C0"/>
          <w:sz w:val="28"/>
          <w:szCs w:val="28"/>
        </w:rPr>
      </w:pPr>
    </w:p>
    <w:p w:rsidR="000A37FF" w:rsidRPr="001B4BAC" w:rsidRDefault="000A37FF" w:rsidP="000A37FF">
      <w:pPr>
        <w:tabs>
          <w:tab w:val="left" w:pos="1418"/>
        </w:tabs>
        <w:ind w:firstLine="709"/>
        <w:jc w:val="center"/>
        <w:rPr>
          <w:rFonts w:ascii="Times New Roman" w:hAnsi="Times New Roman"/>
          <w:b/>
          <w:iCs/>
          <w:color w:val="000000" w:themeColor="text1"/>
          <w:sz w:val="28"/>
          <w:szCs w:val="28"/>
        </w:rPr>
      </w:pPr>
      <w:r w:rsidRPr="001B4BAC">
        <w:rPr>
          <w:rFonts w:ascii="Times New Roman" w:hAnsi="Times New Roman"/>
          <w:b/>
          <w:iCs/>
          <w:color w:val="000000" w:themeColor="text1"/>
          <w:sz w:val="28"/>
          <w:szCs w:val="28"/>
        </w:rPr>
        <w:t>Демографическая ситуация</w:t>
      </w:r>
    </w:p>
    <w:p w:rsidR="000A37FF" w:rsidRPr="001B4BAC" w:rsidRDefault="000A37FF" w:rsidP="000A37F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Численность населения на 01.07.202</w:t>
      </w:r>
      <w:r w:rsidR="007F688B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г. составила 6</w:t>
      </w:r>
      <w:r w:rsidR="007F688B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5 998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человек, 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и снизилась по сравнению с началом года на </w:t>
      </w:r>
      <w:r w:rsidR="007F688B" w:rsidRPr="001B4BAC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268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человек или на 0,</w:t>
      </w:r>
      <w:r w:rsidR="007F688B" w:rsidRPr="001B4BAC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4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%. Из общей численности населения: </w:t>
      </w:r>
    </w:p>
    <w:p w:rsidR="000A37FF" w:rsidRPr="001B4BAC" w:rsidRDefault="000A37FF" w:rsidP="000A37FF">
      <w:pPr>
        <w:pStyle w:val="a4"/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городское население – 5</w:t>
      </w:r>
      <w:r w:rsidR="00C44C6B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  <w:t>4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1</w:t>
      </w:r>
      <w:r w:rsidR="00C44C6B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  <w:t>0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8 чел. (- </w:t>
      </w:r>
      <w:r w:rsidR="00C44C6B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  <w:t>17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8 человек); </w:t>
      </w:r>
    </w:p>
    <w:p w:rsidR="000A37FF" w:rsidRPr="001B4BAC" w:rsidRDefault="000A37FF" w:rsidP="000A37FF">
      <w:pPr>
        <w:pStyle w:val="a4"/>
        <w:widowControl w:val="0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сельское население – 1</w:t>
      </w:r>
      <w:r w:rsidR="00C44C6B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  <w:t>1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C44C6B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  <w:t>890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чел. (- </w:t>
      </w:r>
      <w:r w:rsidR="00C44C6B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  <w:t>90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человек).</w:t>
      </w:r>
    </w:p>
    <w:p w:rsidR="00D6418B" w:rsidRPr="001B4BAC" w:rsidRDefault="00D6418B" w:rsidP="00D6418B">
      <w:pPr>
        <w:pStyle w:val="a6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1B4BAC">
        <w:rPr>
          <w:rFonts w:ascii="Times New Roman" w:hAnsi="Times New Roman" w:cs="Times New Roman"/>
          <w:sz w:val="28"/>
          <w:szCs w:val="28"/>
        </w:rPr>
        <w:t>Демографическая ситуация характеризуется следующими показателями:</w:t>
      </w:r>
    </w:p>
    <w:p w:rsidR="00D6418B" w:rsidRPr="001B4BAC" w:rsidRDefault="00D6418B" w:rsidP="00D6418B">
      <w:pPr>
        <w:pStyle w:val="a6"/>
        <w:ind w:left="7300" w:firstLine="488"/>
        <w:rPr>
          <w:rFonts w:ascii="Times New Roman" w:hAnsi="Times New Roman" w:cs="Times New Roman"/>
          <w:sz w:val="28"/>
          <w:szCs w:val="28"/>
        </w:rPr>
      </w:pPr>
    </w:p>
    <w:p w:rsidR="00D6418B" w:rsidRPr="001B4BAC" w:rsidRDefault="00D6418B" w:rsidP="00D6418B">
      <w:pPr>
        <w:pStyle w:val="a6"/>
        <w:ind w:left="7300" w:firstLine="488"/>
      </w:pPr>
      <w:r w:rsidRPr="001B4BAC">
        <w:rPr>
          <w:rFonts w:ascii="Times New Roman" w:hAnsi="Times New Roman" w:cs="Times New Roman"/>
          <w:sz w:val="28"/>
          <w:szCs w:val="28"/>
        </w:rPr>
        <w:t xml:space="preserve"> Таблица 1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5"/>
        <w:gridCol w:w="1559"/>
        <w:gridCol w:w="1559"/>
        <w:gridCol w:w="1418"/>
      </w:tblGrid>
      <w:tr w:rsidR="00D6418B" w:rsidRPr="001B4BAC" w:rsidTr="00D6418B">
        <w:trPr>
          <w:trHeight w:val="269"/>
          <w:jc w:val="center"/>
        </w:trPr>
        <w:tc>
          <w:tcPr>
            <w:tcW w:w="4815" w:type="dxa"/>
          </w:tcPr>
          <w:p w:rsidR="00D6418B" w:rsidRPr="001B4BAC" w:rsidRDefault="00D6418B" w:rsidP="0014406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D6418B" w:rsidRPr="001B4BAC" w:rsidRDefault="00D6418B" w:rsidP="00D6418B">
            <w:pPr>
              <w:ind w:left="-7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4BA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6 мес. 2023 г.</w:t>
            </w:r>
          </w:p>
        </w:tc>
        <w:tc>
          <w:tcPr>
            <w:tcW w:w="1559" w:type="dxa"/>
          </w:tcPr>
          <w:p w:rsidR="00D6418B" w:rsidRPr="001B4BAC" w:rsidRDefault="00D6418B" w:rsidP="00D6418B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B4BAC">
              <w:rPr>
                <w:rFonts w:ascii="Times New Roman" w:hAnsi="Times New Roman"/>
                <w:b/>
                <w:bCs/>
                <w:sz w:val="24"/>
                <w:szCs w:val="24"/>
              </w:rPr>
              <w:t>6 мес. 2022 г.</w:t>
            </w:r>
          </w:p>
        </w:tc>
        <w:tc>
          <w:tcPr>
            <w:tcW w:w="1418" w:type="dxa"/>
          </w:tcPr>
          <w:p w:rsidR="00D6418B" w:rsidRPr="001B4BAC" w:rsidRDefault="00D6418B" w:rsidP="00144062">
            <w:pPr>
              <w:ind w:left="-12" w:firstLine="1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B4BAC">
              <w:rPr>
                <w:rFonts w:ascii="Times New Roman" w:hAnsi="Times New Roman"/>
                <w:b/>
                <w:bCs/>
                <w:sz w:val="24"/>
                <w:szCs w:val="24"/>
              </w:rPr>
              <w:t>% к 2022 г.</w:t>
            </w:r>
          </w:p>
        </w:tc>
      </w:tr>
      <w:tr w:rsidR="00D6418B" w:rsidRPr="001B4BAC" w:rsidTr="00D6418B">
        <w:trPr>
          <w:trHeight w:val="285"/>
          <w:jc w:val="center"/>
        </w:trPr>
        <w:tc>
          <w:tcPr>
            <w:tcW w:w="4815" w:type="dxa"/>
          </w:tcPr>
          <w:p w:rsidR="00D6418B" w:rsidRPr="001B4BAC" w:rsidRDefault="00D6418B" w:rsidP="00144062">
            <w:pPr>
              <w:rPr>
                <w:rFonts w:ascii="Times New Roman" w:hAnsi="Times New Roman"/>
                <w:sz w:val="24"/>
                <w:szCs w:val="24"/>
              </w:rPr>
            </w:pPr>
            <w:r w:rsidRPr="001B4BAC">
              <w:rPr>
                <w:rFonts w:ascii="Times New Roman" w:hAnsi="Times New Roman"/>
                <w:sz w:val="24"/>
                <w:szCs w:val="24"/>
              </w:rPr>
              <w:t>Родилось</w:t>
            </w:r>
          </w:p>
        </w:tc>
        <w:tc>
          <w:tcPr>
            <w:tcW w:w="1559" w:type="dxa"/>
          </w:tcPr>
          <w:p w:rsidR="00D6418B" w:rsidRPr="001B4BAC" w:rsidRDefault="00D6418B" w:rsidP="001440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BAC"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1559" w:type="dxa"/>
          </w:tcPr>
          <w:p w:rsidR="00D6418B" w:rsidRPr="001B4BAC" w:rsidRDefault="00D6418B" w:rsidP="001440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BAC">
              <w:rPr>
                <w:rFonts w:ascii="Times New Roman" w:hAnsi="Times New Roman"/>
                <w:sz w:val="24"/>
                <w:szCs w:val="24"/>
              </w:rPr>
              <w:t>255</w:t>
            </w:r>
          </w:p>
        </w:tc>
        <w:tc>
          <w:tcPr>
            <w:tcW w:w="1418" w:type="dxa"/>
          </w:tcPr>
          <w:p w:rsidR="00D6418B" w:rsidRPr="001B4BAC" w:rsidRDefault="00D6418B" w:rsidP="001440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BAC">
              <w:rPr>
                <w:rFonts w:ascii="Times New Roman" w:hAnsi="Times New Roman"/>
                <w:sz w:val="24"/>
                <w:szCs w:val="24"/>
              </w:rPr>
              <w:t>84,3</w:t>
            </w:r>
          </w:p>
        </w:tc>
      </w:tr>
      <w:tr w:rsidR="00D6418B" w:rsidRPr="001B4BAC" w:rsidTr="00D6418B">
        <w:trPr>
          <w:trHeight w:val="279"/>
          <w:jc w:val="center"/>
        </w:trPr>
        <w:tc>
          <w:tcPr>
            <w:tcW w:w="4815" w:type="dxa"/>
          </w:tcPr>
          <w:p w:rsidR="00D6418B" w:rsidRPr="001B4BAC" w:rsidRDefault="00D6418B" w:rsidP="00144062">
            <w:pPr>
              <w:rPr>
                <w:rFonts w:ascii="Times New Roman" w:hAnsi="Times New Roman"/>
                <w:sz w:val="24"/>
                <w:szCs w:val="24"/>
              </w:rPr>
            </w:pPr>
            <w:r w:rsidRPr="001B4BAC">
              <w:rPr>
                <w:rFonts w:ascii="Times New Roman" w:hAnsi="Times New Roman"/>
                <w:sz w:val="24"/>
                <w:szCs w:val="24"/>
              </w:rPr>
              <w:t>Умерло</w:t>
            </w:r>
          </w:p>
        </w:tc>
        <w:tc>
          <w:tcPr>
            <w:tcW w:w="1559" w:type="dxa"/>
          </w:tcPr>
          <w:p w:rsidR="00D6418B" w:rsidRPr="001B4BAC" w:rsidRDefault="00D6418B" w:rsidP="001440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BAC">
              <w:rPr>
                <w:rFonts w:ascii="Times New Roman" w:hAnsi="Times New Roman"/>
                <w:sz w:val="24"/>
                <w:szCs w:val="24"/>
              </w:rPr>
              <w:t>540</w:t>
            </w:r>
          </w:p>
        </w:tc>
        <w:tc>
          <w:tcPr>
            <w:tcW w:w="1559" w:type="dxa"/>
          </w:tcPr>
          <w:p w:rsidR="00D6418B" w:rsidRPr="001B4BAC" w:rsidRDefault="00D6418B" w:rsidP="001440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BAC">
              <w:rPr>
                <w:rFonts w:ascii="Times New Roman" w:hAnsi="Times New Roman"/>
                <w:sz w:val="24"/>
                <w:szCs w:val="24"/>
              </w:rPr>
              <w:t>639</w:t>
            </w:r>
          </w:p>
        </w:tc>
        <w:tc>
          <w:tcPr>
            <w:tcW w:w="1418" w:type="dxa"/>
          </w:tcPr>
          <w:p w:rsidR="00D6418B" w:rsidRPr="001B4BAC" w:rsidRDefault="00D6418B" w:rsidP="001440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BAC">
              <w:rPr>
                <w:rFonts w:ascii="Times New Roman" w:hAnsi="Times New Roman"/>
                <w:sz w:val="24"/>
                <w:szCs w:val="24"/>
              </w:rPr>
              <w:t>84,5</w:t>
            </w:r>
          </w:p>
        </w:tc>
      </w:tr>
      <w:tr w:rsidR="00D6418B" w:rsidRPr="001B4BAC" w:rsidTr="00D6418B">
        <w:trPr>
          <w:trHeight w:val="269"/>
          <w:jc w:val="center"/>
        </w:trPr>
        <w:tc>
          <w:tcPr>
            <w:tcW w:w="4815" w:type="dxa"/>
          </w:tcPr>
          <w:p w:rsidR="00D6418B" w:rsidRPr="001B4BAC" w:rsidRDefault="00D6418B" w:rsidP="00144062">
            <w:pPr>
              <w:rPr>
                <w:rFonts w:ascii="Times New Roman" w:hAnsi="Times New Roman"/>
                <w:sz w:val="24"/>
                <w:szCs w:val="24"/>
              </w:rPr>
            </w:pPr>
            <w:r w:rsidRPr="001B4BAC">
              <w:rPr>
                <w:rFonts w:ascii="Times New Roman" w:hAnsi="Times New Roman"/>
                <w:sz w:val="24"/>
                <w:szCs w:val="24"/>
              </w:rPr>
              <w:t>Коэффициент рождаемости (на 1 тыс. населения)</w:t>
            </w:r>
          </w:p>
        </w:tc>
        <w:tc>
          <w:tcPr>
            <w:tcW w:w="1559" w:type="dxa"/>
          </w:tcPr>
          <w:p w:rsidR="00D6418B" w:rsidRPr="001B4BAC" w:rsidRDefault="00D6418B" w:rsidP="001440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BAC">
              <w:rPr>
                <w:rFonts w:ascii="Times New Roman" w:hAnsi="Times New Roman"/>
                <w:sz w:val="24"/>
                <w:szCs w:val="24"/>
              </w:rPr>
              <w:t>3,3</w:t>
            </w:r>
          </w:p>
        </w:tc>
        <w:tc>
          <w:tcPr>
            <w:tcW w:w="1559" w:type="dxa"/>
          </w:tcPr>
          <w:p w:rsidR="00D6418B" w:rsidRPr="001B4BAC" w:rsidRDefault="00D6418B" w:rsidP="001440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BAC">
              <w:rPr>
                <w:rFonts w:ascii="Times New Roman" w:hAnsi="Times New Roman"/>
                <w:sz w:val="24"/>
                <w:szCs w:val="24"/>
              </w:rPr>
              <w:t>3,8</w:t>
            </w:r>
          </w:p>
        </w:tc>
        <w:tc>
          <w:tcPr>
            <w:tcW w:w="1418" w:type="dxa"/>
          </w:tcPr>
          <w:p w:rsidR="00D6418B" w:rsidRPr="001B4BAC" w:rsidRDefault="00D6418B" w:rsidP="001440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BAC">
              <w:rPr>
                <w:rFonts w:ascii="Times New Roman" w:hAnsi="Times New Roman"/>
                <w:sz w:val="24"/>
                <w:szCs w:val="24"/>
              </w:rPr>
              <w:t>86,8</w:t>
            </w:r>
          </w:p>
        </w:tc>
      </w:tr>
      <w:tr w:rsidR="00D6418B" w:rsidRPr="001B4BAC" w:rsidTr="00D6418B">
        <w:trPr>
          <w:trHeight w:val="269"/>
          <w:jc w:val="center"/>
        </w:trPr>
        <w:tc>
          <w:tcPr>
            <w:tcW w:w="4815" w:type="dxa"/>
          </w:tcPr>
          <w:p w:rsidR="00D6418B" w:rsidRPr="001B4BAC" w:rsidRDefault="00D6418B" w:rsidP="00144062">
            <w:pPr>
              <w:rPr>
                <w:rFonts w:ascii="Times New Roman" w:hAnsi="Times New Roman"/>
                <w:sz w:val="24"/>
                <w:szCs w:val="24"/>
              </w:rPr>
            </w:pPr>
            <w:r w:rsidRPr="001B4BAC">
              <w:rPr>
                <w:rFonts w:ascii="Times New Roman" w:hAnsi="Times New Roman"/>
                <w:sz w:val="24"/>
                <w:szCs w:val="24"/>
              </w:rPr>
              <w:t>Коэффициент смертности (на 1 тыс. населения)</w:t>
            </w:r>
          </w:p>
        </w:tc>
        <w:tc>
          <w:tcPr>
            <w:tcW w:w="1559" w:type="dxa"/>
          </w:tcPr>
          <w:p w:rsidR="00D6418B" w:rsidRPr="001B4BAC" w:rsidRDefault="00D6418B" w:rsidP="001440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BAC">
              <w:rPr>
                <w:rFonts w:ascii="Times New Roman" w:hAnsi="Times New Roman"/>
                <w:sz w:val="24"/>
                <w:szCs w:val="24"/>
              </w:rPr>
              <w:t>8,</w:t>
            </w:r>
            <w:r w:rsidRPr="001B4BAC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559" w:type="dxa"/>
          </w:tcPr>
          <w:p w:rsidR="00D6418B" w:rsidRPr="001B4BAC" w:rsidRDefault="00D6418B" w:rsidP="001440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BAC"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  <w:tc>
          <w:tcPr>
            <w:tcW w:w="1418" w:type="dxa"/>
          </w:tcPr>
          <w:p w:rsidR="00D6418B" w:rsidRPr="001B4BAC" w:rsidRDefault="00D6418B" w:rsidP="001440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BAC">
              <w:rPr>
                <w:rFonts w:ascii="Times New Roman" w:hAnsi="Times New Roman"/>
                <w:sz w:val="24"/>
                <w:szCs w:val="24"/>
              </w:rPr>
              <w:t>86,3</w:t>
            </w:r>
          </w:p>
        </w:tc>
      </w:tr>
      <w:tr w:rsidR="00D6418B" w:rsidRPr="001B4BAC" w:rsidTr="00D6418B">
        <w:trPr>
          <w:trHeight w:val="269"/>
          <w:jc w:val="center"/>
        </w:trPr>
        <w:tc>
          <w:tcPr>
            <w:tcW w:w="4815" w:type="dxa"/>
          </w:tcPr>
          <w:p w:rsidR="00D6418B" w:rsidRPr="001B4BAC" w:rsidRDefault="00D6418B" w:rsidP="00144062">
            <w:pPr>
              <w:rPr>
                <w:rFonts w:ascii="Times New Roman" w:hAnsi="Times New Roman"/>
                <w:sz w:val="24"/>
                <w:szCs w:val="24"/>
              </w:rPr>
            </w:pPr>
            <w:r w:rsidRPr="001B4BAC">
              <w:rPr>
                <w:rFonts w:ascii="Times New Roman" w:hAnsi="Times New Roman"/>
                <w:sz w:val="24"/>
                <w:szCs w:val="24"/>
              </w:rPr>
              <w:t xml:space="preserve">Естественный прирост/убыль  </w:t>
            </w:r>
          </w:p>
        </w:tc>
        <w:tc>
          <w:tcPr>
            <w:tcW w:w="1559" w:type="dxa"/>
          </w:tcPr>
          <w:p w:rsidR="00D6418B" w:rsidRPr="001B4BAC" w:rsidRDefault="00D6418B" w:rsidP="001440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BAC">
              <w:rPr>
                <w:rFonts w:ascii="Times New Roman" w:hAnsi="Times New Roman"/>
                <w:sz w:val="24"/>
                <w:szCs w:val="24"/>
              </w:rPr>
              <w:t>-325</w:t>
            </w:r>
          </w:p>
        </w:tc>
        <w:tc>
          <w:tcPr>
            <w:tcW w:w="1559" w:type="dxa"/>
          </w:tcPr>
          <w:p w:rsidR="00D6418B" w:rsidRPr="001B4BAC" w:rsidRDefault="00D6418B" w:rsidP="001440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BAC">
              <w:rPr>
                <w:rFonts w:ascii="Times New Roman" w:hAnsi="Times New Roman"/>
                <w:sz w:val="24"/>
                <w:szCs w:val="24"/>
              </w:rPr>
              <w:t>-384</w:t>
            </w:r>
          </w:p>
        </w:tc>
        <w:tc>
          <w:tcPr>
            <w:tcW w:w="1418" w:type="dxa"/>
          </w:tcPr>
          <w:p w:rsidR="00D6418B" w:rsidRPr="001B4BAC" w:rsidRDefault="00D6418B" w:rsidP="001440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BAC">
              <w:rPr>
                <w:rFonts w:ascii="Times New Roman" w:hAnsi="Times New Roman"/>
                <w:sz w:val="24"/>
                <w:szCs w:val="24"/>
              </w:rPr>
              <w:t xml:space="preserve"> 84,6</w:t>
            </w:r>
          </w:p>
        </w:tc>
      </w:tr>
      <w:tr w:rsidR="00D6418B" w:rsidRPr="001B4BAC" w:rsidTr="00D6418B">
        <w:trPr>
          <w:trHeight w:val="269"/>
          <w:jc w:val="center"/>
        </w:trPr>
        <w:tc>
          <w:tcPr>
            <w:tcW w:w="4815" w:type="dxa"/>
          </w:tcPr>
          <w:p w:rsidR="00D6418B" w:rsidRPr="001B4BAC" w:rsidRDefault="00D6418B" w:rsidP="00144062">
            <w:pPr>
              <w:rPr>
                <w:rFonts w:ascii="Times New Roman" w:hAnsi="Times New Roman"/>
                <w:sz w:val="24"/>
                <w:szCs w:val="24"/>
              </w:rPr>
            </w:pPr>
            <w:r w:rsidRPr="001B4BAC">
              <w:rPr>
                <w:rFonts w:ascii="Times New Roman" w:hAnsi="Times New Roman"/>
                <w:sz w:val="24"/>
                <w:szCs w:val="24"/>
              </w:rPr>
              <w:t>Миграционный прирост/убыль, чел.</w:t>
            </w:r>
          </w:p>
        </w:tc>
        <w:tc>
          <w:tcPr>
            <w:tcW w:w="1559" w:type="dxa"/>
          </w:tcPr>
          <w:p w:rsidR="00D6418B" w:rsidRPr="001B4BAC" w:rsidRDefault="00D6418B" w:rsidP="001440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BAC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1559" w:type="dxa"/>
          </w:tcPr>
          <w:p w:rsidR="00D6418B" w:rsidRPr="001B4BAC" w:rsidRDefault="00D6418B" w:rsidP="001440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B4BAC">
              <w:rPr>
                <w:rFonts w:ascii="Times New Roman" w:hAnsi="Times New Roman"/>
                <w:sz w:val="24"/>
                <w:szCs w:val="24"/>
              </w:rPr>
              <w:t>-249</w:t>
            </w:r>
          </w:p>
        </w:tc>
        <w:tc>
          <w:tcPr>
            <w:tcW w:w="1418" w:type="dxa"/>
          </w:tcPr>
          <w:p w:rsidR="00D6418B" w:rsidRPr="001B4BAC" w:rsidRDefault="00D6418B" w:rsidP="001440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A37FF" w:rsidRPr="001B4BAC" w:rsidRDefault="000A37FF" w:rsidP="00D6418B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4BAC">
        <w:rPr>
          <w:rFonts w:ascii="Times New Roman" w:hAnsi="Times New Roman"/>
          <w:b/>
          <w:color w:val="000000" w:themeColor="text1"/>
          <w:sz w:val="28"/>
          <w:szCs w:val="28"/>
        </w:rPr>
        <w:t>По оценке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численность постоянного населения Тихвинского района </w:t>
      </w:r>
      <w:r w:rsidRPr="001B4BAC">
        <w:rPr>
          <w:rFonts w:ascii="Times New Roman" w:hAnsi="Times New Roman"/>
          <w:b/>
          <w:color w:val="000000" w:themeColor="text1"/>
          <w:sz w:val="28"/>
          <w:szCs w:val="28"/>
        </w:rPr>
        <w:t>на 1 января 202</w:t>
      </w:r>
      <w:r w:rsidR="00E56D74" w:rsidRPr="001B4BAC">
        <w:rPr>
          <w:rFonts w:ascii="Times New Roman" w:hAnsi="Times New Roman"/>
          <w:b/>
          <w:color w:val="000000" w:themeColor="text1"/>
          <w:sz w:val="28"/>
          <w:szCs w:val="28"/>
        </w:rPr>
        <w:t>4</w:t>
      </w:r>
      <w:r w:rsidRPr="001B4BA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года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составит 6</w:t>
      </w:r>
      <w:r w:rsidR="00F4425E"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5 </w:t>
      </w:r>
      <w:r w:rsidR="00DB234C" w:rsidRPr="001B4BAC">
        <w:rPr>
          <w:rFonts w:ascii="Times New Roman" w:hAnsi="Times New Roman"/>
          <w:color w:val="000000" w:themeColor="text1"/>
          <w:sz w:val="28"/>
          <w:szCs w:val="28"/>
        </w:rPr>
        <w:t>338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человек или 98,6% к уровню 202</w:t>
      </w:r>
      <w:r w:rsidR="00DB234C" w:rsidRPr="001B4BA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года, при этом городское население составит 5</w:t>
      </w:r>
      <w:r w:rsidR="00DB234C" w:rsidRPr="001B4BAC">
        <w:rPr>
          <w:rFonts w:ascii="Times New Roman" w:hAnsi="Times New Roman"/>
          <w:color w:val="000000" w:themeColor="text1"/>
          <w:sz w:val="28"/>
          <w:szCs w:val="28"/>
        </w:rPr>
        <w:t>3 471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человек (- 8</w:t>
      </w:r>
      <w:r w:rsidR="00DB234C" w:rsidRPr="001B4BAC">
        <w:rPr>
          <w:rFonts w:ascii="Times New Roman" w:hAnsi="Times New Roman"/>
          <w:color w:val="000000" w:themeColor="text1"/>
          <w:sz w:val="28"/>
          <w:szCs w:val="28"/>
        </w:rPr>
        <w:t>15 чел.), а сельское -11867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человек (- 11</w:t>
      </w:r>
      <w:r w:rsidR="00DB234C" w:rsidRPr="001B4BA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чел.). Сокращение численности населения муниципального образования в 202</w:t>
      </w:r>
      <w:r w:rsidR="00DB234C" w:rsidRPr="001B4BA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году будет обусловлено естественной убылью населения, уровень которой </w:t>
      </w:r>
      <w:r w:rsidR="00495C32" w:rsidRPr="001B4BAC">
        <w:rPr>
          <w:rFonts w:ascii="Times New Roman" w:hAnsi="Times New Roman"/>
          <w:color w:val="000000" w:themeColor="text1"/>
          <w:sz w:val="28"/>
          <w:szCs w:val="28"/>
        </w:rPr>
        <w:t>снизится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и составит в 202</w:t>
      </w:r>
      <w:r w:rsidR="00495C32" w:rsidRPr="001B4BA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году 10,</w:t>
      </w:r>
      <w:r w:rsidR="00495C32" w:rsidRPr="001B4BAC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человек на 1000 чел. населения против 1</w:t>
      </w:r>
      <w:r w:rsidR="00495C32" w:rsidRPr="001B4BAC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495C32" w:rsidRPr="001B4BAC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человек в 202</w:t>
      </w:r>
      <w:r w:rsidR="00495C32" w:rsidRPr="001B4BA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году. Коэффициент смертности снизится с </w:t>
      </w:r>
      <w:r w:rsidR="007335AE" w:rsidRPr="001B4BAC">
        <w:rPr>
          <w:rFonts w:ascii="Times New Roman" w:hAnsi="Times New Roman"/>
          <w:color w:val="000000" w:themeColor="text1"/>
          <w:sz w:val="28"/>
          <w:szCs w:val="28"/>
        </w:rPr>
        <w:t>17,4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человека в 202</w:t>
      </w:r>
      <w:r w:rsidR="007335AE" w:rsidRPr="001B4BA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году до 1</w:t>
      </w:r>
      <w:r w:rsidR="007335AE" w:rsidRPr="001B4BAC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7335AE" w:rsidRPr="001B4BAC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человека в 202</w:t>
      </w:r>
      <w:r w:rsidR="007335AE" w:rsidRPr="001B4BA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году, коэффициент рождаемости </w:t>
      </w:r>
      <w:r w:rsidR="007335AE" w:rsidRPr="001B4BAC">
        <w:rPr>
          <w:rFonts w:ascii="Times New Roman" w:hAnsi="Times New Roman"/>
          <w:color w:val="000000" w:themeColor="text1"/>
          <w:sz w:val="28"/>
          <w:szCs w:val="28"/>
        </w:rPr>
        <w:t>останется на уровне 2022 года и составит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7335AE" w:rsidRPr="001B4BAC">
        <w:rPr>
          <w:rFonts w:ascii="Times New Roman" w:hAnsi="Times New Roman"/>
          <w:color w:val="000000" w:themeColor="text1"/>
          <w:sz w:val="28"/>
          <w:szCs w:val="28"/>
        </w:rPr>
        <w:t>6,9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человека на 1000 населения. </w:t>
      </w:r>
    </w:p>
    <w:p w:rsidR="000A37FF" w:rsidRPr="001B4BAC" w:rsidRDefault="000A37FF" w:rsidP="000A37F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Интенсивность </w:t>
      </w:r>
      <w:r w:rsidRPr="001B4BAC">
        <w:rPr>
          <w:rFonts w:ascii="Times New Roman" w:hAnsi="Times New Roman"/>
          <w:bCs/>
          <w:iCs/>
          <w:color w:val="000000" w:themeColor="text1"/>
          <w:sz w:val="28"/>
          <w:szCs w:val="28"/>
        </w:rPr>
        <w:t>миграционного прироста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умеренно снизится до отрицательного сальдо в </w:t>
      </w:r>
      <w:r w:rsidR="00DA60B3" w:rsidRPr="001B4BAC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>00 человек</w:t>
      </w:r>
      <w:r w:rsidR="00DA60B3" w:rsidRPr="001B4BAC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0A37FF" w:rsidRPr="001B4BAC" w:rsidRDefault="000A37FF" w:rsidP="000A37F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4BAC">
        <w:rPr>
          <w:rFonts w:ascii="Times New Roman" w:hAnsi="Times New Roman"/>
          <w:color w:val="000000" w:themeColor="text1"/>
          <w:sz w:val="28"/>
          <w:szCs w:val="28"/>
        </w:rPr>
        <w:t>В итоге, снижение численности населения Тихвинского района ожидается в 202</w:t>
      </w:r>
      <w:r w:rsidR="00DA60B3" w:rsidRPr="001B4BA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году на уровне 92</w:t>
      </w:r>
      <w:r w:rsidR="00DA60B3" w:rsidRPr="001B4BAC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человек.</w:t>
      </w:r>
    </w:p>
    <w:p w:rsidR="000A37FF" w:rsidRPr="001B4BAC" w:rsidRDefault="000A37FF" w:rsidP="000A37F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2D4F01" w:rsidRPr="001B4BAC" w:rsidRDefault="002D4F01" w:rsidP="000A37FF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A306F3" w:rsidRPr="001B4BAC" w:rsidRDefault="00A306F3" w:rsidP="000A37FF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0A37FF" w:rsidRPr="001B4BAC" w:rsidRDefault="000A37FF" w:rsidP="000A37FF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1B4BAC">
        <w:rPr>
          <w:rFonts w:ascii="Times New Roman" w:hAnsi="Times New Roman"/>
          <w:b/>
          <w:bCs/>
          <w:color w:val="000000" w:themeColor="text1"/>
          <w:sz w:val="28"/>
          <w:szCs w:val="28"/>
        </w:rPr>
        <w:t>Промышленное производство</w:t>
      </w:r>
    </w:p>
    <w:p w:rsidR="000A37FF" w:rsidRPr="001B4BAC" w:rsidRDefault="000A37FF" w:rsidP="000A37FF">
      <w:pPr>
        <w:spacing w:after="0" w:line="240" w:lineRule="auto"/>
        <w:ind w:firstLine="68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A37FF" w:rsidRPr="001B4BAC" w:rsidRDefault="000A37FF" w:rsidP="000A37FF">
      <w:pPr>
        <w:spacing w:after="0" w:line="240" w:lineRule="auto"/>
        <w:ind w:firstLine="680"/>
        <w:jc w:val="both"/>
        <w:rPr>
          <w:rFonts w:ascii="Times New Roman" w:hAnsi="Times New Roman"/>
          <w:b/>
          <w:iCs/>
          <w:color w:val="000000" w:themeColor="text1"/>
          <w:sz w:val="28"/>
          <w:szCs w:val="28"/>
        </w:rPr>
      </w:pPr>
      <w:r w:rsidRPr="001B4BAC">
        <w:rPr>
          <w:rFonts w:ascii="Times New Roman" w:hAnsi="Times New Roman"/>
          <w:color w:val="000000" w:themeColor="text1"/>
          <w:sz w:val="28"/>
          <w:szCs w:val="28"/>
        </w:rPr>
        <w:t>Промышленность является базовой отраслью и имеет значимое влияние на экономику района. На территории района осуществляют производственную деятельность 1</w:t>
      </w:r>
      <w:r w:rsidR="002D4F01" w:rsidRPr="001B4BAC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крупных и средних промышленных предприятий.  </w:t>
      </w:r>
    </w:p>
    <w:p w:rsidR="000A37FF" w:rsidRPr="001B4BAC" w:rsidRDefault="000A37FF" w:rsidP="000A37F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4BAC">
        <w:rPr>
          <w:rFonts w:ascii="Times New Roman" w:hAnsi="Times New Roman"/>
          <w:b/>
          <w:color w:val="000000" w:themeColor="text1"/>
          <w:sz w:val="28"/>
          <w:szCs w:val="28"/>
        </w:rPr>
        <w:t>За первое полугодие 202</w:t>
      </w:r>
      <w:r w:rsidR="002D4F01" w:rsidRPr="001B4BAC">
        <w:rPr>
          <w:rFonts w:ascii="Times New Roman" w:hAnsi="Times New Roman"/>
          <w:b/>
          <w:color w:val="000000" w:themeColor="text1"/>
          <w:sz w:val="28"/>
          <w:szCs w:val="28"/>
        </w:rPr>
        <w:t>3</w:t>
      </w:r>
      <w:r w:rsidRPr="001B4BA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года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объём отгруженных товаров собственного производства, выполненных работ и услуг по всем основным видам промышленной </w:t>
      </w:r>
      <w:r w:rsidR="00A83FB6">
        <w:rPr>
          <w:rFonts w:ascii="Times New Roman" w:hAnsi="Times New Roman"/>
          <w:color w:val="000000" w:themeColor="text1"/>
          <w:sz w:val="28"/>
          <w:szCs w:val="28"/>
        </w:rPr>
        <w:t xml:space="preserve">продукции 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>составил</w:t>
      </w:r>
      <w:r w:rsidRPr="001B4BA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="002D4F01" w:rsidRPr="001B4BAC">
        <w:rPr>
          <w:rFonts w:ascii="Times New Roman" w:hAnsi="Times New Roman"/>
          <w:color w:val="000000" w:themeColor="text1"/>
          <w:sz w:val="28"/>
          <w:szCs w:val="28"/>
        </w:rPr>
        <w:t>8 105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млн. рублей (1</w:t>
      </w:r>
      <w:r w:rsidR="002D4F01" w:rsidRPr="001B4BAC">
        <w:rPr>
          <w:rFonts w:ascii="Times New Roman" w:hAnsi="Times New Roman"/>
          <w:color w:val="000000" w:themeColor="text1"/>
          <w:sz w:val="28"/>
          <w:szCs w:val="28"/>
        </w:rPr>
        <w:t>19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2D4F01" w:rsidRPr="001B4BAC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>% к АППГ в сопоставимых ценах).</w:t>
      </w:r>
    </w:p>
    <w:p w:rsidR="000A37FF" w:rsidRPr="001B4BAC" w:rsidRDefault="000A37FF" w:rsidP="000A37F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Доля продукции промышленности в общем объёме произведённых и отгруженных товаров, выполненных работ и услуг крупными и средними предприятиями, и организациями Тихвинского района составляет 9</w:t>
      </w:r>
      <w:r w:rsidR="002D4F01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%, при этом около </w:t>
      </w:r>
      <w:r w:rsidR="002D4F01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93,1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% промышленной продукции производится предприятиями 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холдинга НПК «ОВК»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: Тихвинским вагоностроительным заводом, заводами </w:t>
      </w:r>
      <w:proofErr w:type="spellStart"/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ТихвинХимМаш</w:t>
      </w:r>
      <w:proofErr w:type="spellEnd"/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proofErr w:type="spellStart"/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Титран</w:t>
      </w:r>
      <w:proofErr w:type="spellEnd"/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-Экспресс и </w:t>
      </w:r>
      <w:proofErr w:type="spellStart"/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ТихвинСпецМаш</w:t>
      </w:r>
      <w:proofErr w:type="spellEnd"/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0A37FF" w:rsidRPr="001B4BAC" w:rsidRDefault="000A37FF" w:rsidP="000A37FF">
      <w:pPr>
        <w:widowControl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Прогнозные показатели, представленные предприятиями 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холдинга НПК «ОВК»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 позволяют ожидать увеличени</w:t>
      </w:r>
      <w:r w:rsidR="0047060F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объёмов производства продукции в целом по району. Объёмы промышленной продукции в 202</w:t>
      </w:r>
      <w:r w:rsidR="0047060F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3 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году ожидаются на уровне </w:t>
      </w:r>
      <w:r w:rsidR="0047060F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136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 w:rsidR="0047060F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3% от объёмов прошлого года.</w:t>
      </w:r>
    </w:p>
    <w:p w:rsidR="000A37FF" w:rsidRPr="001B4BAC" w:rsidRDefault="000A37FF" w:rsidP="000A37FF">
      <w:pPr>
        <w:widowControl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hAnsi="Times New Roman"/>
          <w:color w:val="0070C0"/>
          <w:sz w:val="24"/>
          <w:szCs w:val="24"/>
          <w:lang w:eastAsia="ru-RU"/>
        </w:rPr>
        <w:tab/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Ведущее место в промышленности района занимают </w:t>
      </w:r>
      <w:r w:rsidRPr="001B4BAC">
        <w:rPr>
          <w:rFonts w:ascii="Times New Roman" w:hAnsi="Times New Roman"/>
          <w:b/>
          <w:i/>
          <w:color w:val="000000" w:themeColor="text1"/>
          <w:sz w:val="28"/>
          <w:szCs w:val="28"/>
          <w:u w:val="single"/>
          <w:lang w:eastAsia="ru-RU"/>
        </w:rPr>
        <w:t>обрабатывающие производства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 в структуре отгруженной продукции промышленно</w:t>
      </w:r>
      <w:r w:rsidR="00937CC5"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сти их удельный вес составляет 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9</w:t>
      </w:r>
      <w:r w:rsidR="00937CC5"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937CC5"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%. </w:t>
      </w:r>
    </w:p>
    <w:p w:rsidR="000A37FF" w:rsidRPr="001B4BAC" w:rsidRDefault="000A37FF" w:rsidP="000A37FF">
      <w:pPr>
        <w:widowControl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ab/>
        <w:t xml:space="preserve">Отраслевая структура обрабатывающих производств представлена: </w:t>
      </w:r>
    </w:p>
    <w:p w:rsidR="000A37FF" w:rsidRPr="001B4BAC" w:rsidRDefault="000A37FF" w:rsidP="000A37FF">
      <w:pPr>
        <w:numPr>
          <w:ilvl w:val="0"/>
          <w:numId w:val="2"/>
        </w:numPr>
        <w:spacing w:after="0" w:line="240" w:lineRule="auto"/>
        <w:ind w:left="1037" w:hanging="35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4BAC">
        <w:rPr>
          <w:rFonts w:ascii="Times New Roman" w:hAnsi="Times New Roman"/>
          <w:color w:val="000000" w:themeColor="text1"/>
          <w:sz w:val="28"/>
          <w:szCs w:val="28"/>
        </w:rPr>
        <w:t>пр</w:t>
      </w:r>
      <w:r w:rsidRPr="001B4BAC">
        <w:rPr>
          <w:rFonts w:ascii="Times New Roman" w:hAnsi="Times New Roman"/>
          <w:iCs/>
          <w:color w:val="000000" w:themeColor="text1"/>
          <w:sz w:val="28"/>
          <w:szCs w:val="28"/>
        </w:rPr>
        <w:t>оизводством прочих транспортных средств и оборудования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– </w:t>
      </w:r>
      <w:r w:rsidR="00FF4DA7" w:rsidRPr="001B4BAC">
        <w:rPr>
          <w:rFonts w:ascii="Times New Roman" w:hAnsi="Times New Roman"/>
          <w:iCs/>
          <w:color w:val="000000" w:themeColor="text1"/>
          <w:sz w:val="28"/>
          <w:szCs w:val="28"/>
        </w:rPr>
        <w:t>92</w:t>
      </w:r>
      <w:r w:rsidRPr="001B4BAC">
        <w:rPr>
          <w:rFonts w:ascii="Times New Roman" w:hAnsi="Times New Roman"/>
          <w:iCs/>
          <w:color w:val="000000" w:themeColor="text1"/>
          <w:sz w:val="28"/>
          <w:szCs w:val="28"/>
        </w:rPr>
        <w:t>,</w:t>
      </w:r>
      <w:r w:rsidR="00FF4DA7" w:rsidRPr="001B4BAC">
        <w:rPr>
          <w:rFonts w:ascii="Times New Roman" w:hAnsi="Times New Roman"/>
          <w:iCs/>
          <w:color w:val="000000" w:themeColor="text1"/>
          <w:sz w:val="28"/>
          <w:szCs w:val="28"/>
        </w:rPr>
        <w:t>1</w:t>
      </w:r>
      <w:r w:rsidRPr="001B4BAC">
        <w:rPr>
          <w:rFonts w:ascii="Times New Roman" w:hAnsi="Times New Roman"/>
          <w:iCs/>
          <w:color w:val="000000" w:themeColor="text1"/>
          <w:sz w:val="28"/>
          <w:szCs w:val="28"/>
        </w:rPr>
        <w:t>%;</w:t>
      </w:r>
    </w:p>
    <w:p w:rsidR="000A37FF" w:rsidRPr="001B4BAC" w:rsidRDefault="000A37FF" w:rsidP="000A37FF">
      <w:pPr>
        <w:numPr>
          <w:ilvl w:val="0"/>
          <w:numId w:val="2"/>
        </w:numPr>
        <w:spacing w:after="0" w:line="240" w:lineRule="auto"/>
        <w:ind w:left="1037" w:hanging="35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производством металлургическим – </w:t>
      </w:r>
      <w:r w:rsidR="00FF4DA7" w:rsidRPr="001B4BAC">
        <w:rPr>
          <w:rFonts w:ascii="Times New Roman" w:hAnsi="Times New Roman"/>
          <w:color w:val="000000" w:themeColor="text1"/>
          <w:sz w:val="28"/>
          <w:szCs w:val="28"/>
        </w:rPr>
        <w:t>6,6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>%;</w:t>
      </w:r>
    </w:p>
    <w:p w:rsidR="000A37FF" w:rsidRPr="001B4BAC" w:rsidRDefault="000A37FF" w:rsidP="000A37FF">
      <w:pPr>
        <w:numPr>
          <w:ilvl w:val="0"/>
          <w:numId w:val="2"/>
        </w:numPr>
        <w:spacing w:after="0" w:line="240" w:lineRule="auto"/>
        <w:ind w:left="1037" w:hanging="35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4BAC">
        <w:rPr>
          <w:rFonts w:ascii="Times New Roman" w:hAnsi="Times New Roman"/>
          <w:color w:val="000000" w:themeColor="text1"/>
          <w:sz w:val="28"/>
          <w:szCs w:val="28"/>
        </w:rPr>
        <w:t>производством одежды – 0,</w:t>
      </w:r>
      <w:r w:rsidR="00FF4DA7" w:rsidRPr="001B4BAC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>%;</w:t>
      </w:r>
    </w:p>
    <w:p w:rsidR="000A37FF" w:rsidRPr="001B4BAC" w:rsidRDefault="000A37FF" w:rsidP="000A37FF">
      <w:pPr>
        <w:widowControl w:val="0"/>
        <w:numPr>
          <w:ilvl w:val="0"/>
          <w:numId w:val="2"/>
        </w:numPr>
        <w:spacing w:after="0" w:line="240" w:lineRule="auto"/>
        <w:ind w:left="1037" w:hanging="35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прочие – </w:t>
      </w:r>
      <w:r w:rsidR="00FF4DA7"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0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FF4DA7"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7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%</w:t>
      </w:r>
    </w:p>
    <w:p w:rsidR="000A37FF" w:rsidRPr="001B4BAC" w:rsidRDefault="000A37FF" w:rsidP="000A37FF">
      <w:pPr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1B4BAC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За 1 полугодие 202</w:t>
      </w:r>
      <w:r w:rsidR="00E635A3" w:rsidRPr="001B4BAC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3</w:t>
      </w:r>
      <w:r w:rsidRPr="001B4BAC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 xml:space="preserve"> года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отгружено продукции на сумму </w:t>
      </w:r>
      <w:r w:rsidR="00330E62" w:rsidRPr="001B4BAC">
        <w:rPr>
          <w:rFonts w:ascii="Times New Roman" w:eastAsia="Times New Roman" w:hAnsi="Times New Roman"/>
          <w:color w:val="000000" w:themeColor="text1"/>
          <w:sz w:val="28"/>
          <w:szCs w:val="28"/>
        </w:rPr>
        <w:t>37 726,7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млн. рублей (</w:t>
      </w:r>
      <w:r w:rsidR="00330E62" w:rsidRPr="001B4BAC">
        <w:rPr>
          <w:rFonts w:ascii="Times New Roman" w:eastAsia="Times New Roman" w:hAnsi="Times New Roman"/>
          <w:color w:val="000000" w:themeColor="text1"/>
          <w:sz w:val="28"/>
          <w:szCs w:val="28"/>
        </w:rPr>
        <w:t>121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</w:rPr>
        <w:t>,</w:t>
      </w:r>
      <w:r w:rsidR="00330E62" w:rsidRPr="001B4BAC">
        <w:rPr>
          <w:rFonts w:ascii="Times New Roman" w:eastAsia="Times New Roman" w:hAnsi="Times New Roman"/>
          <w:color w:val="000000" w:themeColor="text1"/>
          <w:sz w:val="28"/>
          <w:szCs w:val="28"/>
        </w:rPr>
        <w:t>1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% к АППГ в сопоставимых ценах). 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Сложившаяся в стране ситуация </w:t>
      </w:r>
      <w:r w:rsidRPr="001B4BA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из-за беспрецедентных торговых и финансовых санкций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внесла свои коррективы в работу ряда крупных и средних предприятий Тихвинского района</w:t>
      </w:r>
      <w:r w:rsidR="00096423"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096423" w:rsidRPr="001B4BAC">
        <w:rPr>
          <w:rFonts w:ascii="Times New Roman" w:hAnsi="Times New Roman"/>
          <w:sz w:val="28"/>
          <w:szCs w:val="28"/>
        </w:rPr>
        <w:t>ООО «ТФЗ» сократило объём производства ввиду отсутствия спроса на феррохром в России.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116926" w:rsidRPr="001B4BAC">
        <w:rPr>
          <w:rFonts w:ascii="Times New Roman" w:hAnsi="Times New Roman"/>
          <w:sz w:val="28"/>
          <w:szCs w:val="28"/>
          <w:shd w:val="clear" w:color="auto" w:fill="FFFFFF"/>
        </w:rPr>
        <w:t>ООО «</w:t>
      </w:r>
      <w:proofErr w:type="spellStart"/>
      <w:r w:rsidR="00116926" w:rsidRPr="001B4BAC">
        <w:rPr>
          <w:rFonts w:ascii="Times New Roman" w:hAnsi="Times New Roman"/>
          <w:sz w:val="28"/>
          <w:szCs w:val="28"/>
          <w:shd w:val="clear" w:color="auto" w:fill="FFFFFF"/>
        </w:rPr>
        <w:t>Лузалес</w:t>
      </w:r>
      <w:proofErr w:type="spellEnd"/>
      <w:r w:rsidR="00116926" w:rsidRPr="001B4BAC">
        <w:rPr>
          <w:rFonts w:ascii="Times New Roman" w:hAnsi="Times New Roman"/>
          <w:sz w:val="28"/>
          <w:szCs w:val="28"/>
          <w:shd w:val="clear" w:color="auto" w:fill="FFFFFF"/>
        </w:rPr>
        <w:t>-Тихвин» в</w:t>
      </w:r>
      <w:r w:rsidR="00116926" w:rsidRPr="001B4BAC">
        <w:rPr>
          <w:rFonts w:ascii="Times New Roman" w:hAnsi="Times New Roman"/>
          <w:sz w:val="28"/>
          <w:szCs w:val="28"/>
        </w:rPr>
        <w:t xml:space="preserve"> июне 2023 года частично отменило режим простоя, </w:t>
      </w:r>
      <w:r w:rsidR="001C378F" w:rsidRPr="001B4BAC">
        <w:rPr>
          <w:rFonts w:ascii="Times New Roman" w:hAnsi="Times New Roman"/>
          <w:sz w:val="28"/>
          <w:szCs w:val="28"/>
        </w:rPr>
        <w:t>с</w:t>
      </w:r>
      <w:r w:rsidR="00116926" w:rsidRPr="001B4BAC">
        <w:rPr>
          <w:rFonts w:ascii="Times New Roman" w:hAnsi="Times New Roman"/>
          <w:sz w:val="28"/>
          <w:szCs w:val="28"/>
        </w:rPr>
        <w:t xml:space="preserve"> сентябр</w:t>
      </w:r>
      <w:r w:rsidR="001C378F" w:rsidRPr="001B4BAC">
        <w:rPr>
          <w:rFonts w:ascii="Times New Roman" w:hAnsi="Times New Roman"/>
          <w:sz w:val="28"/>
          <w:szCs w:val="28"/>
        </w:rPr>
        <w:t>я</w:t>
      </w:r>
      <w:r w:rsidR="00116926" w:rsidRPr="001B4BAC">
        <w:rPr>
          <w:rFonts w:ascii="Times New Roman" w:hAnsi="Times New Roman"/>
          <w:sz w:val="28"/>
          <w:szCs w:val="28"/>
        </w:rPr>
        <w:t xml:space="preserve"> предприятие работа</w:t>
      </w:r>
      <w:r w:rsidR="001C378F" w:rsidRPr="001B4BAC">
        <w:rPr>
          <w:rFonts w:ascii="Times New Roman" w:hAnsi="Times New Roman"/>
          <w:sz w:val="28"/>
          <w:szCs w:val="28"/>
        </w:rPr>
        <w:t>ет</w:t>
      </w:r>
      <w:r w:rsidR="00116926" w:rsidRPr="001B4BAC">
        <w:rPr>
          <w:rFonts w:ascii="Times New Roman" w:hAnsi="Times New Roman"/>
          <w:sz w:val="28"/>
          <w:szCs w:val="28"/>
        </w:rPr>
        <w:t xml:space="preserve"> в полном составе. 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К концу года этот показатель составит </w:t>
      </w:r>
      <w:r w:rsidR="000D25CA" w:rsidRPr="001B4BAC">
        <w:rPr>
          <w:rFonts w:ascii="Times New Roman" w:eastAsia="Times New Roman" w:hAnsi="Times New Roman"/>
          <w:color w:val="000000" w:themeColor="text1"/>
          <w:sz w:val="28"/>
          <w:szCs w:val="28"/>
        </w:rPr>
        <w:t>144,1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</w:rPr>
        <w:t>% от АППГ.</w:t>
      </w:r>
    </w:p>
    <w:p w:rsidR="000A37FF" w:rsidRPr="001B4BAC" w:rsidRDefault="000A37FF" w:rsidP="000A37FF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u w:val="single"/>
          <w:lang w:eastAsia="ru-RU"/>
        </w:rPr>
      </w:pPr>
      <w:r w:rsidRPr="001B4BAC">
        <w:rPr>
          <w:rFonts w:ascii="Times New Roman" w:hAnsi="Times New Roman"/>
          <w:color w:val="000000" w:themeColor="text1"/>
          <w:sz w:val="28"/>
          <w:szCs w:val="28"/>
          <w:u w:val="single"/>
          <w:lang w:eastAsia="ru-RU"/>
        </w:rPr>
        <w:t>Прогнозируемая ситуация по видам экономической деятельности:</w:t>
      </w:r>
    </w:p>
    <w:p w:rsidR="000A37FF" w:rsidRPr="001B4BAC" w:rsidRDefault="000A37FF" w:rsidP="000A37FF">
      <w:pPr>
        <w:widowControl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ab/>
        <w:t xml:space="preserve">- </w:t>
      </w:r>
      <w:r w:rsidRPr="001B4BAC">
        <w:rPr>
          <w:rFonts w:ascii="Times New Roman" w:hAnsi="Times New Roman"/>
          <w:b/>
          <w:color w:val="000000" w:themeColor="text1"/>
          <w:sz w:val="28"/>
          <w:szCs w:val="28"/>
          <w:lang w:eastAsia="ru-RU"/>
        </w:rPr>
        <w:t>«</w:t>
      </w:r>
      <w:r w:rsidRPr="001B4BAC">
        <w:rPr>
          <w:rFonts w:ascii="Times New Roman" w:hAnsi="Times New Roman"/>
          <w:b/>
          <w:i/>
          <w:color w:val="000000" w:themeColor="text1"/>
          <w:sz w:val="28"/>
          <w:szCs w:val="28"/>
          <w:lang w:eastAsia="ru-RU"/>
        </w:rPr>
        <w:t>Пр</w:t>
      </w:r>
      <w:r w:rsidRPr="001B4BAC">
        <w:rPr>
          <w:rFonts w:ascii="Times New Roman" w:hAnsi="Times New Roman"/>
          <w:b/>
          <w:i/>
          <w:iCs/>
          <w:color w:val="000000" w:themeColor="text1"/>
          <w:sz w:val="28"/>
          <w:szCs w:val="28"/>
          <w:lang w:eastAsia="ru-RU"/>
        </w:rPr>
        <w:t>оизводство прочих транспортных средств и оборудования»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: по итогам 202</w:t>
      </w:r>
      <w:r w:rsidR="00014832"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года объём произведенной и отгруженной продукции составил   </w:t>
      </w:r>
      <w:r w:rsidR="00014832"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36 634,3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млн. руб. (</w:t>
      </w:r>
      <w:r w:rsidR="00014832"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62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014832"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%). Основной объём продукции этого вида экономической деятельности приходится на предприятия по производству специализированных вагонов, их комплектующих, входящие в состав холдинга НПК «ОВК»: АО «Тихвинский вагоностроительный завод»; АО «</w:t>
      </w:r>
      <w:proofErr w:type="spellStart"/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ТихвинХимМаш</w:t>
      </w:r>
      <w:proofErr w:type="spellEnd"/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», АО «</w:t>
      </w:r>
      <w:proofErr w:type="spellStart"/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ТихвинСпецМаш</w:t>
      </w:r>
      <w:proofErr w:type="spellEnd"/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», АО «ТСЗ «</w:t>
      </w:r>
      <w:proofErr w:type="spellStart"/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Титран</w:t>
      </w:r>
      <w:proofErr w:type="spellEnd"/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-Экспресс».  </w:t>
      </w:r>
    </w:p>
    <w:p w:rsidR="000A37FF" w:rsidRPr="001B4BAC" w:rsidRDefault="000A37FF" w:rsidP="000A37FF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4BAC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>В 1 полугодии 202</w:t>
      </w:r>
      <w:r w:rsidR="00C375CC" w:rsidRPr="001B4BAC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>3</w:t>
      </w:r>
      <w:r w:rsidRPr="001B4BAC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 xml:space="preserve"> года объём произведённой и отгруженной продукции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холдинга НПК «ОВК»</w:t>
      </w:r>
      <w:r w:rsidRPr="001B4BAC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 xml:space="preserve"> составил </w:t>
      </w:r>
      <w:r w:rsidR="00C375CC" w:rsidRPr="001B4BAC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>35 142,3</w:t>
      </w:r>
      <w:r w:rsidRPr="001B4BAC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 xml:space="preserve"> млн. руб. (</w:t>
      </w:r>
      <w:r w:rsidR="00C375CC" w:rsidRPr="001B4BAC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>96</w:t>
      </w:r>
      <w:r w:rsidRPr="001B4BAC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>%</w:t>
      </w:r>
      <w:r w:rsidR="00640F9F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 xml:space="preserve"> от общего объёма </w:t>
      </w:r>
      <w:r w:rsidR="00640F9F" w:rsidRPr="00640F9F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«Пр</w:t>
      </w:r>
      <w:r w:rsidR="00640F9F" w:rsidRPr="00640F9F">
        <w:rPr>
          <w:rFonts w:ascii="Times New Roman" w:hAnsi="Times New Roman"/>
          <w:iCs/>
          <w:color w:val="000000" w:themeColor="text1"/>
          <w:sz w:val="28"/>
          <w:szCs w:val="28"/>
          <w:lang w:eastAsia="ru-RU"/>
        </w:rPr>
        <w:t>оизводств</w:t>
      </w:r>
      <w:r w:rsidR="00640F9F">
        <w:rPr>
          <w:rFonts w:ascii="Times New Roman" w:hAnsi="Times New Roman"/>
          <w:iCs/>
          <w:color w:val="000000" w:themeColor="text1"/>
          <w:sz w:val="28"/>
          <w:szCs w:val="28"/>
          <w:lang w:eastAsia="ru-RU"/>
        </w:rPr>
        <w:t>а</w:t>
      </w:r>
      <w:r w:rsidR="00640F9F" w:rsidRPr="00640F9F">
        <w:rPr>
          <w:rFonts w:ascii="Times New Roman" w:hAnsi="Times New Roman"/>
          <w:iCs/>
          <w:color w:val="000000" w:themeColor="text1"/>
          <w:sz w:val="28"/>
          <w:szCs w:val="28"/>
          <w:lang w:eastAsia="ru-RU"/>
        </w:rPr>
        <w:t xml:space="preserve"> прочих транспортных средств и оборудования»</w:t>
      </w:r>
      <w:r w:rsidRPr="001B4BAC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>), было отгружено</w:t>
      </w:r>
      <w:r w:rsidR="00640F9F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="00C375CC" w:rsidRPr="001B4BAC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>7</w:t>
      </w:r>
      <w:r w:rsidR="00640F9F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> </w:t>
      </w:r>
      <w:r w:rsidR="00C375CC" w:rsidRPr="001B4BAC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>413</w:t>
      </w:r>
      <w:r w:rsidR="00640F9F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Pr="001B4BAC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 xml:space="preserve">грузовых вагонов, что на </w:t>
      </w:r>
      <w:r w:rsidR="00C375CC" w:rsidRPr="001B4BAC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>45,7</w:t>
      </w:r>
      <w:r w:rsidRPr="001B4BAC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 xml:space="preserve">% </w:t>
      </w:r>
      <w:r w:rsidR="00C375CC" w:rsidRPr="001B4BAC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>бол</w:t>
      </w:r>
      <w:r w:rsidRPr="001B4BAC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>ьше аналогичного периода прошлого года (</w:t>
      </w:r>
      <w:r w:rsidR="00C375CC" w:rsidRPr="001B4BAC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>5</w:t>
      </w:r>
      <w:r w:rsidRPr="001B4BAC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="00C375CC" w:rsidRPr="001B4BAC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>087</w:t>
      </w:r>
      <w:r w:rsidRPr="001B4BAC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 xml:space="preserve"> вагонов).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0A37FF" w:rsidRPr="001B4BAC" w:rsidRDefault="000A37FF" w:rsidP="000A37F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hAnsi="Times New Roman"/>
          <w:color w:val="000000" w:themeColor="text1"/>
          <w:sz w:val="28"/>
          <w:szCs w:val="28"/>
        </w:rPr>
        <w:t>По итогам 202</w:t>
      </w:r>
      <w:r w:rsidR="0057724D" w:rsidRPr="001B4BA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года 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объём отгруженных товаров предприятиями холдинга в ценах соответствующих лет ожидается на уровне </w:t>
      </w:r>
      <w:r w:rsidR="001217B1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71 148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млн. рублей, что составит </w:t>
      </w:r>
      <w:r w:rsidR="001217B1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191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% к уровню 202</w:t>
      </w:r>
      <w:r w:rsidR="001217B1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года.  </w:t>
      </w:r>
      <w:r w:rsidRPr="001B4BAC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 xml:space="preserve"> </w:t>
      </w:r>
    </w:p>
    <w:p w:rsidR="000A37FF" w:rsidRPr="001B4BAC" w:rsidRDefault="000A37FF" w:rsidP="000A37FF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</w:pP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</w:t>
      </w:r>
      <w:r w:rsidRPr="001B4BAC">
        <w:rPr>
          <w:rFonts w:ascii="Times New Roman" w:hAnsi="Times New Roman"/>
          <w:b/>
          <w:i/>
          <w:iCs/>
          <w:color w:val="000000" w:themeColor="text1"/>
          <w:sz w:val="28"/>
          <w:szCs w:val="28"/>
          <w:lang w:eastAsia="ru-RU"/>
        </w:rPr>
        <w:t>«Производство металлургическое»</w:t>
      </w:r>
      <w:r w:rsidRPr="001B4BAC">
        <w:rPr>
          <w:rFonts w:ascii="Times New Roman" w:hAnsi="Times New Roman"/>
          <w:i/>
          <w:iCs/>
          <w:color w:val="000000" w:themeColor="text1"/>
          <w:sz w:val="28"/>
          <w:szCs w:val="28"/>
          <w:lang w:eastAsia="ru-RU"/>
        </w:rPr>
        <w:t xml:space="preserve">: </w:t>
      </w:r>
      <w:r w:rsidRPr="001B4BAC">
        <w:rPr>
          <w:rFonts w:ascii="Times New Roman" w:hAnsi="Times New Roman"/>
          <w:iCs/>
          <w:color w:val="000000" w:themeColor="text1"/>
          <w:sz w:val="28"/>
          <w:szCs w:val="28"/>
          <w:lang w:eastAsia="ru-RU"/>
        </w:rPr>
        <w:t>объёмы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складываются из результатов работы ООО «Тихвинский ферросплавный завод» - </w:t>
      </w:r>
      <w:r w:rsidRPr="001B4BAC">
        <w:rPr>
          <w:rFonts w:ascii="Times New Roman" w:hAnsi="Times New Roman"/>
          <w:color w:val="000000" w:themeColor="text1"/>
          <w:sz w:val="28"/>
          <w:szCs w:val="28"/>
          <w:shd w:val="clear" w:color="auto" w:fill="FBFBFB"/>
          <w:lang w:eastAsia="ru-RU"/>
        </w:rPr>
        <w:t>современного предприятия в области производства выс</w:t>
      </w:r>
      <w:r w:rsidR="00832ADD" w:rsidRPr="001B4BAC">
        <w:rPr>
          <w:rFonts w:ascii="Times New Roman" w:hAnsi="Times New Roman"/>
          <w:color w:val="000000" w:themeColor="text1"/>
          <w:sz w:val="28"/>
          <w:szCs w:val="28"/>
          <w:shd w:val="clear" w:color="auto" w:fill="FBFBFB"/>
          <w:lang w:eastAsia="ru-RU"/>
        </w:rPr>
        <w:t>окоуглеродистого феррохрома.            96</w:t>
      </w:r>
      <w:r w:rsidRPr="001B4BAC">
        <w:rPr>
          <w:rFonts w:ascii="Times New Roman" w:hAnsi="Times New Roman"/>
          <w:color w:val="000000" w:themeColor="text1"/>
          <w:sz w:val="28"/>
          <w:szCs w:val="28"/>
          <w:shd w:val="clear" w:color="auto" w:fill="FBFBFB"/>
          <w:lang w:eastAsia="ru-RU"/>
        </w:rPr>
        <w:t xml:space="preserve">% продукции отправляется на экспорт. </w:t>
      </w:r>
    </w:p>
    <w:p w:rsidR="000A37FF" w:rsidRPr="001B4BAC" w:rsidRDefault="000A37FF" w:rsidP="000A37F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 xml:space="preserve">За 1 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полугодие</w:t>
      </w:r>
      <w:r w:rsidRPr="001B4BAC">
        <w:rPr>
          <w:rFonts w:ascii="Times New Roman" w:eastAsia="Times New Roman" w:hAnsi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202</w:t>
      </w:r>
      <w:r w:rsidR="00DF2FF2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года объём отгруженных товаров собственного производства составил </w:t>
      </w:r>
      <w:r w:rsidR="00DF2FF2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2 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</w:t>
      </w:r>
      <w:r w:rsidR="00DF2FF2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90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млн. рублей 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(</w:t>
      </w:r>
      <w:r w:rsidR="00DF2FF2"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33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,4% к АППГ)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 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объём производства </w:t>
      </w:r>
      <w:r w:rsidR="00DF2FF2" w:rsidRPr="001B4BAC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10,9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тыс. тонн феррохрома 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(</w:t>
      </w:r>
      <w:r w:rsidR="00DF2FF2"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45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DF2FF2"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4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% к АППГ)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. </w:t>
      </w:r>
      <w:r w:rsidR="00276AEA" w:rsidRPr="001B4BAC">
        <w:rPr>
          <w:rFonts w:ascii="Times New Roman" w:hAnsi="Times New Roman"/>
          <w:sz w:val="28"/>
          <w:szCs w:val="28"/>
        </w:rPr>
        <w:t>ООО «ТФЗ» сократило объём производства ввиду отсутствия спроса на феррохром в России.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0A37FF" w:rsidRPr="001B4BAC" w:rsidRDefault="000A37FF" w:rsidP="000A37FF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По о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ценке за 202</w:t>
      </w:r>
      <w:r w:rsidR="00E93D25"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 объём отгруженных товаров составит </w:t>
      </w:r>
      <w:r w:rsidR="00641763"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6 687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641763"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9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млн. рублей (</w:t>
      </w:r>
      <w:r w:rsidR="00641763"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56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641763"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% к АППГ).  </w:t>
      </w:r>
    </w:p>
    <w:p w:rsidR="000A37FF" w:rsidRPr="001B4BAC" w:rsidRDefault="000A37FF" w:rsidP="000A37FF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4BAC">
        <w:rPr>
          <w:rFonts w:ascii="Times New Roman" w:hAnsi="Times New Roman"/>
          <w:b/>
          <w:i/>
          <w:iCs/>
          <w:color w:val="000000" w:themeColor="text1"/>
          <w:sz w:val="28"/>
          <w:szCs w:val="28"/>
        </w:rPr>
        <w:t>- «Производство мебели»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: основной объём по данному виду экономической деятельности составлял объём производства продукции предприятия ООО «ИКЕА </w:t>
      </w:r>
      <w:proofErr w:type="spellStart"/>
      <w:r w:rsidRPr="001B4BAC">
        <w:rPr>
          <w:rFonts w:ascii="Times New Roman" w:hAnsi="Times New Roman"/>
          <w:color w:val="000000" w:themeColor="text1"/>
          <w:sz w:val="28"/>
          <w:szCs w:val="28"/>
        </w:rPr>
        <w:t>Индастри</w:t>
      </w:r>
      <w:proofErr w:type="spellEnd"/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Тихвин».</w:t>
      </w:r>
      <w:r w:rsidR="00940D28"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940D28" w:rsidRPr="001B4BAC">
        <w:rPr>
          <w:rFonts w:ascii="Times New Roman" w:hAnsi="Times New Roman"/>
          <w:sz w:val="28"/>
          <w:szCs w:val="28"/>
          <w:shd w:val="clear" w:color="auto" w:fill="FFFFFF"/>
        </w:rPr>
        <w:t xml:space="preserve">Начиная с марта 2022 года, в связи с текущей экономической ситуацией, вызванной рядом ограничений в ведении бизнеса и неопределённостью в логистических цепочках, предприятие находилось в вынужденном простое. В марте 2023г. официально «ИКЕА </w:t>
      </w:r>
      <w:proofErr w:type="spellStart"/>
      <w:r w:rsidR="00940D28" w:rsidRPr="001B4BAC">
        <w:rPr>
          <w:rFonts w:ascii="Times New Roman" w:hAnsi="Times New Roman"/>
          <w:sz w:val="28"/>
          <w:szCs w:val="28"/>
          <w:shd w:val="clear" w:color="auto" w:fill="FFFFFF"/>
        </w:rPr>
        <w:t>Индастри</w:t>
      </w:r>
      <w:proofErr w:type="spellEnd"/>
      <w:r w:rsidR="00940D28" w:rsidRPr="001B4BAC">
        <w:rPr>
          <w:rFonts w:ascii="Times New Roman" w:hAnsi="Times New Roman"/>
          <w:sz w:val="28"/>
          <w:szCs w:val="28"/>
          <w:shd w:val="clear" w:color="auto" w:fill="FFFFFF"/>
        </w:rPr>
        <w:t xml:space="preserve"> Тихвин» сменило название на ООО «</w:t>
      </w:r>
      <w:proofErr w:type="spellStart"/>
      <w:r w:rsidR="00940D28" w:rsidRPr="001B4BAC">
        <w:rPr>
          <w:rFonts w:ascii="Times New Roman" w:hAnsi="Times New Roman"/>
          <w:sz w:val="28"/>
          <w:szCs w:val="28"/>
          <w:shd w:val="clear" w:color="auto" w:fill="FFFFFF"/>
        </w:rPr>
        <w:t>Лузалес</w:t>
      </w:r>
      <w:proofErr w:type="spellEnd"/>
      <w:r w:rsidR="00940D28" w:rsidRPr="001B4BAC">
        <w:rPr>
          <w:rFonts w:ascii="Times New Roman" w:hAnsi="Times New Roman"/>
          <w:sz w:val="28"/>
          <w:szCs w:val="28"/>
          <w:shd w:val="clear" w:color="auto" w:fill="FFFFFF"/>
        </w:rPr>
        <w:t xml:space="preserve">-Тихвин». </w:t>
      </w:r>
      <w:r w:rsidR="00940D28" w:rsidRPr="001B4BAC">
        <w:rPr>
          <w:rFonts w:ascii="Times New Roman" w:hAnsi="Times New Roman"/>
          <w:sz w:val="28"/>
          <w:szCs w:val="28"/>
        </w:rPr>
        <w:t xml:space="preserve">В июне 2023 года режим простоя частично отменён, </w:t>
      </w:r>
      <w:r w:rsidR="00243238">
        <w:rPr>
          <w:rFonts w:ascii="Times New Roman" w:hAnsi="Times New Roman"/>
          <w:sz w:val="28"/>
          <w:szCs w:val="28"/>
        </w:rPr>
        <w:t>с</w:t>
      </w:r>
      <w:r w:rsidR="00940D28" w:rsidRPr="001B4BAC">
        <w:rPr>
          <w:rFonts w:ascii="Times New Roman" w:hAnsi="Times New Roman"/>
          <w:sz w:val="28"/>
          <w:szCs w:val="28"/>
        </w:rPr>
        <w:t xml:space="preserve"> сентябр</w:t>
      </w:r>
      <w:r w:rsidR="00243238">
        <w:rPr>
          <w:rFonts w:ascii="Times New Roman" w:hAnsi="Times New Roman"/>
          <w:sz w:val="28"/>
          <w:szCs w:val="28"/>
        </w:rPr>
        <w:t>я</w:t>
      </w:r>
      <w:r w:rsidR="00940D28" w:rsidRPr="001B4BA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40D28" w:rsidRPr="001B4BAC">
        <w:rPr>
          <w:rFonts w:ascii="Times New Roman" w:hAnsi="Times New Roman"/>
          <w:sz w:val="28"/>
          <w:szCs w:val="28"/>
        </w:rPr>
        <w:t>предприятие  работа</w:t>
      </w:r>
      <w:r w:rsidR="00243238">
        <w:rPr>
          <w:rFonts w:ascii="Times New Roman" w:hAnsi="Times New Roman"/>
          <w:sz w:val="28"/>
          <w:szCs w:val="28"/>
        </w:rPr>
        <w:t>е</w:t>
      </w:r>
      <w:r w:rsidR="00940D28" w:rsidRPr="001B4BAC">
        <w:rPr>
          <w:rFonts w:ascii="Times New Roman" w:hAnsi="Times New Roman"/>
          <w:sz w:val="28"/>
          <w:szCs w:val="28"/>
        </w:rPr>
        <w:t>т</w:t>
      </w:r>
      <w:proofErr w:type="gramEnd"/>
      <w:r w:rsidR="00940D28" w:rsidRPr="001B4BAC">
        <w:rPr>
          <w:rFonts w:ascii="Times New Roman" w:hAnsi="Times New Roman"/>
          <w:sz w:val="28"/>
          <w:szCs w:val="28"/>
        </w:rPr>
        <w:t xml:space="preserve"> в полном составе.</w:t>
      </w:r>
    </w:p>
    <w:p w:rsidR="000A37FF" w:rsidRPr="001B4BAC" w:rsidRDefault="000A37FF" w:rsidP="000A37FF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</w:rPr>
        <w:t>О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бъём отгруженной продукции за первое полугодие 202</w:t>
      </w:r>
      <w:r w:rsidR="00586A2A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года составил </w:t>
      </w:r>
      <w:r w:rsidR="00586A2A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20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млн. рублей 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586A2A" w:rsidRPr="001B4BAC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>,8</w:t>
      </w:r>
      <w:r w:rsidR="00586A2A" w:rsidRPr="001B4BAC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>% к 202</w:t>
      </w:r>
      <w:r w:rsidR="00586A2A" w:rsidRPr="001B4BA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г.). 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К концу года этот показатель составит около </w:t>
      </w:r>
      <w:r w:rsidR="00CD56C9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710 млн. рублей </w:t>
      </w:r>
      <w:r w:rsidR="008C5114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9% от АППГ.</w:t>
      </w:r>
      <w:r w:rsidRPr="001B4BA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0A37FF" w:rsidRPr="001B4BAC" w:rsidRDefault="000A37FF" w:rsidP="000A37FF">
      <w:pPr>
        <w:widowControl w:val="0"/>
        <w:spacing w:after="0" w:line="240" w:lineRule="auto"/>
        <w:jc w:val="both"/>
        <w:rPr>
          <w:rFonts w:ascii="Times New Roman" w:hAnsi="Times New Roman"/>
          <w:bCs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hAnsi="Times New Roman"/>
          <w:color w:val="0070C0"/>
          <w:sz w:val="28"/>
          <w:szCs w:val="28"/>
          <w:lang w:eastAsia="ru-RU"/>
        </w:rPr>
        <w:tab/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</w:t>
      </w:r>
      <w:r w:rsidRPr="001B4BAC">
        <w:rPr>
          <w:rFonts w:ascii="Times New Roman" w:hAnsi="Times New Roman"/>
          <w:b/>
          <w:iCs/>
          <w:color w:val="000000" w:themeColor="text1"/>
          <w:sz w:val="28"/>
          <w:szCs w:val="28"/>
          <w:lang w:eastAsia="ru-RU"/>
        </w:rPr>
        <w:t>«</w:t>
      </w:r>
      <w:r w:rsidRPr="001B4BAC">
        <w:rPr>
          <w:rFonts w:ascii="Times New Roman" w:hAnsi="Times New Roman"/>
          <w:b/>
          <w:i/>
          <w:iCs/>
          <w:color w:val="000000" w:themeColor="text1"/>
          <w:sz w:val="28"/>
          <w:szCs w:val="28"/>
          <w:lang w:eastAsia="ru-RU"/>
        </w:rPr>
        <w:t>Производство пищевых продуктов</w:t>
      </w:r>
      <w:r w:rsidRPr="001B4BAC">
        <w:rPr>
          <w:rFonts w:ascii="Times New Roman" w:hAnsi="Times New Roman"/>
          <w:b/>
          <w:iCs/>
          <w:color w:val="000000" w:themeColor="text1"/>
          <w:sz w:val="28"/>
          <w:szCs w:val="28"/>
          <w:lang w:eastAsia="ru-RU"/>
        </w:rPr>
        <w:t>»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- в этом виде экономической деятельности учитываются </w:t>
      </w:r>
      <w:r w:rsidR="002E33A0"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объёмы </w:t>
      </w:r>
      <w:r w:rsidR="002E33A0" w:rsidRPr="001B4BAC">
        <w:rPr>
          <w:rFonts w:ascii="Times New Roman" w:hAnsi="Times New Roman"/>
          <w:bCs/>
          <w:sz w:val="28"/>
          <w:szCs w:val="28"/>
        </w:rPr>
        <w:t xml:space="preserve">АО «Культура-Агро», ООО «Тихвинский </w:t>
      </w:r>
      <w:proofErr w:type="spellStart"/>
      <w:r w:rsidR="002E33A0" w:rsidRPr="001B4BAC">
        <w:rPr>
          <w:rFonts w:ascii="Times New Roman" w:hAnsi="Times New Roman"/>
          <w:bCs/>
          <w:sz w:val="28"/>
          <w:szCs w:val="28"/>
        </w:rPr>
        <w:t>хлебокомбинат</w:t>
      </w:r>
      <w:proofErr w:type="spellEnd"/>
      <w:r w:rsidR="002E33A0" w:rsidRPr="001B4BAC">
        <w:rPr>
          <w:rFonts w:ascii="Times New Roman" w:hAnsi="Times New Roman"/>
          <w:bCs/>
          <w:sz w:val="28"/>
          <w:szCs w:val="28"/>
        </w:rPr>
        <w:t>», ООО «ЛЕНТА»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  <w:r w:rsidRPr="001B4BAC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За 1 полугодие 202</w:t>
      </w:r>
      <w:r w:rsidR="002E33A0" w:rsidRPr="001B4BAC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3</w:t>
      </w:r>
      <w:r w:rsidRPr="001B4BAC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года показатели объёмов производства составили 1</w:t>
      </w:r>
      <w:r w:rsidR="002E33A0" w:rsidRPr="001B4BAC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11</w:t>
      </w:r>
      <w:r w:rsidRPr="001B4BAC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,</w:t>
      </w:r>
      <w:r w:rsidR="002E33A0" w:rsidRPr="001B4BAC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4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1B4BAC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млн. руб. </w:t>
      </w:r>
    </w:p>
    <w:p w:rsidR="000A37FF" w:rsidRPr="001B4BAC" w:rsidRDefault="000A37FF" w:rsidP="000A37FF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 оценке 202</w:t>
      </w:r>
      <w:r w:rsidR="002E33A0"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года объём отгрузки составит </w:t>
      </w:r>
      <w:r w:rsidR="00B07074"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222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</w:t>
      </w:r>
      <w:r w:rsidR="00B07074"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8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млн. руб. </w:t>
      </w:r>
    </w:p>
    <w:p w:rsidR="000A37FF" w:rsidRPr="001B4BAC" w:rsidRDefault="000A37FF" w:rsidP="000A37FF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</w:t>
      </w:r>
      <w:r w:rsidRPr="001B4BAC">
        <w:rPr>
          <w:rFonts w:ascii="Times New Roman" w:hAnsi="Times New Roman"/>
          <w:b/>
          <w:i/>
          <w:iCs/>
          <w:color w:val="000000" w:themeColor="text1"/>
          <w:sz w:val="28"/>
          <w:szCs w:val="28"/>
          <w:lang w:eastAsia="ru-RU"/>
        </w:rPr>
        <w:t>«Производство одежды»</w:t>
      </w:r>
      <w:r w:rsidRPr="001B4BAC">
        <w:rPr>
          <w:rFonts w:ascii="Times New Roman" w:hAnsi="Times New Roman"/>
          <w:b/>
          <w:iCs/>
          <w:color w:val="000000" w:themeColor="text1"/>
          <w:sz w:val="28"/>
          <w:szCs w:val="28"/>
          <w:lang w:eastAsia="ru-RU"/>
        </w:rPr>
        <w:t>:</w:t>
      </w:r>
      <w:r w:rsidRPr="001B4BAC">
        <w:rPr>
          <w:rFonts w:ascii="Times New Roman" w:hAnsi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основные предприятия - ООО «</w:t>
      </w:r>
      <w:proofErr w:type="spellStart"/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Комацо</w:t>
      </w:r>
      <w:proofErr w:type="spellEnd"/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», ООО «Восход», ООО «</w:t>
      </w:r>
      <w:proofErr w:type="spellStart"/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Сканвоквэр</w:t>
      </w:r>
      <w:proofErr w:type="spellEnd"/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». </w:t>
      </w:r>
    </w:p>
    <w:p w:rsidR="000A37FF" w:rsidRPr="001B4BAC" w:rsidRDefault="000A37FF" w:rsidP="000A37FF">
      <w:pPr>
        <w:keepNext/>
        <w:keepLines/>
        <w:spacing w:after="0"/>
        <w:ind w:firstLine="708"/>
        <w:jc w:val="both"/>
        <w:textAlignment w:val="center"/>
        <w:outlineLvl w:val="0"/>
        <w:rPr>
          <w:rFonts w:ascii="Times New Roman" w:eastAsia="Times New Roman" w:hAnsi="Times New Roman"/>
          <w:color w:val="000000" w:themeColor="text1"/>
          <w:sz w:val="28"/>
          <w:szCs w:val="28"/>
        </w:rPr>
      </w:pP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</w:rPr>
        <w:t>За 1 полугодие 202</w:t>
      </w:r>
      <w:r w:rsidR="00E140CF" w:rsidRPr="001B4BAC">
        <w:rPr>
          <w:rFonts w:ascii="Times New Roman" w:eastAsia="Times New Roman" w:hAnsi="Times New Roman"/>
          <w:color w:val="000000" w:themeColor="text1"/>
          <w:sz w:val="28"/>
          <w:szCs w:val="28"/>
        </w:rPr>
        <w:t>3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г. объём отгруженных товаров собственного производства составил – 2</w:t>
      </w:r>
      <w:r w:rsidR="00A92025" w:rsidRPr="001B4BAC">
        <w:rPr>
          <w:rFonts w:ascii="Times New Roman" w:eastAsia="Times New Roman" w:hAnsi="Times New Roman"/>
          <w:color w:val="000000" w:themeColor="text1"/>
          <w:sz w:val="28"/>
          <w:szCs w:val="28"/>
        </w:rPr>
        <w:t>26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</w:rPr>
        <w:t>,</w:t>
      </w:r>
      <w:r w:rsidR="00A92025" w:rsidRPr="001B4BAC">
        <w:rPr>
          <w:rFonts w:ascii="Times New Roman" w:eastAsia="Times New Roman" w:hAnsi="Times New Roman"/>
          <w:color w:val="000000" w:themeColor="text1"/>
          <w:sz w:val="28"/>
          <w:szCs w:val="28"/>
        </w:rPr>
        <w:t>4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 млн. рублей (</w:t>
      </w:r>
      <w:r w:rsidR="00A92025" w:rsidRPr="001B4BAC">
        <w:rPr>
          <w:rFonts w:ascii="Times New Roman" w:eastAsia="Times New Roman" w:hAnsi="Times New Roman"/>
          <w:color w:val="000000" w:themeColor="text1"/>
          <w:sz w:val="28"/>
          <w:szCs w:val="28"/>
        </w:rPr>
        <w:t>94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</w:rPr>
        <w:t>,</w:t>
      </w:r>
      <w:r w:rsidR="00A92025" w:rsidRPr="001B4BAC">
        <w:rPr>
          <w:rFonts w:ascii="Times New Roman" w:eastAsia="Times New Roman" w:hAnsi="Times New Roman"/>
          <w:color w:val="000000" w:themeColor="text1"/>
          <w:sz w:val="28"/>
          <w:szCs w:val="28"/>
        </w:rPr>
        <w:t>8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</w:rPr>
        <w:t xml:space="preserve">% к АППГ). </w:t>
      </w:r>
      <w:r w:rsidRPr="001B4BAC">
        <w:rPr>
          <w:rFonts w:ascii="Times New Roman" w:eastAsia="Times New Roman" w:hAnsi="Times New Roman"/>
          <w:color w:val="000000" w:themeColor="text1"/>
          <w:kern w:val="36"/>
          <w:sz w:val="28"/>
          <w:szCs w:val="28"/>
          <w:lang w:eastAsia="ru-RU"/>
        </w:rPr>
        <w:br/>
        <w:t xml:space="preserve"> </w:t>
      </w:r>
      <w:r w:rsidRPr="001B4BAC">
        <w:rPr>
          <w:rFonts w:ascii="Times New Roman" w:eastAsia="Times New Roman" w:hAnsi="Times New Roman"/>
          <w:color w:val="000000" w:themeColor="text1"/>
          <w:kern w:val="36"/>
          <w:sz w:val="28"/>
          <w:szCs w:val="28"/>
          <w:lang w:eastAsia="ru-RU"/>
        </w:rPr>
        <w:tab/>
      </w:r>
      <w:r w:rsidRPr="001B4BAC">
        <w:rPr>
          <w:rFonts w:ascii="Times New Roman" w:eastAsiaTheme="majorEastAsia" w:hAnsi="Times New Roman" w:cstheme="majorBidi"/>
          <w:color w:val="000000" w:themeColor="text1"/>
          <w:sz w:val="28"/>
          <w:szCs w:val="28"/>
        </w:rPr>
        <w:t>Основной объём продукции этого вида экономической деятельности, около 6</w:t>
      </w:r>
      <w:r w:rsidR="009215C7" w:rsidRPr="001B4BAC">
        <w:rPr>
          <w:rFonts w:ascii="Times New Roman" w:eastAsiaTheme="majorEastAsia" w:hAnsi="Times New Roman" w:cstheme="majorBidi"/>
          <w:color w:val="000000" w:themeColor="text1"/>
          <w:sz w:val="28"/>
          <w:szCs w:val="28"/>
        </w:rPr>
        <w:t>0</w:t>
      </w:r>
      <w:r w:rsidRPr="001B4BAC">
        <w:rPr>
          <w:rFonts w:ascii="Times New Roman" w:eastAsiaTheme="majorEastAsia" w:hAnsi="Times New Roman" w:cstheme="majorBidi"/>
          <w:color w:val="000000" w:themeColor="text1"/>
          <w:sz w:val="28"/>
          <w:szCs w:val="28"/>
        </w:rPr>
        <w:t>% (13</w:t>
      </w:r>
      <w:r w:rsidR="009215C7" w:rsidRPr="001B4BAC">
        <w:rPr>
          <w:rFonts w:ascii="Times New Roman" w:eastAsiaTheme="majorEastAsia" w:hAnsi="Times New Roman" w:cstheme="majorBidi"/>
          <w:color w:val="000000" w:themeColor="text1"/>
          <w:sz w:val="28"/>
          <w:szCs w:val="28"/>
        </w:rPr>
        <w:t>6</w:t>
      </w:r>
      <w:r w:rsidRPr="001B4BAC">
        <w:rPr>
          <w:rFonts w:ascii="Times New Roman" w:eastAsiaTheme="majorEastAsia" w:hAnsi="Times New Roman" w:cstheme="majorBidi"/>
          <w:color w:val="000000" w:themeColor="text1"/>
          <w:sz w:val="28"/>
          <w:szCs w:val="28"/>
        </w:rPr>
        <w:t>,</w:t>
      </w:r>
      <w:r w:rsidR="009215C7" w:rsidRPr="001B4BAC">
        <w:rPr>
          <w:rFonts w:ascii="Times New Roman" w:eastAsiaTheme="majorEastAsia" w:hAnsi="Times New Roman" w:cstheme="majorBidi"/>
          <w:color w:val="000000" w:themeColor="text1"/>
          <w:sz w:val="28"/>
          <w:szCs w:val="28"/>
        </w:rPr>
        <w:t>8</w:t>
      </w:r>
      <w:r w:rsidRPr="001B4BAC">
        <w:rPr>
          <w:rFonts w:ascii="Times New Roman" w:eastAsiaTheme="majorEastAsia" w:hAnsi="Times New Roman" w:cstheme="majorBidi"/>
          <w:color w:val="000000" w:themeColor="text1"/>
          <w:sz w:val="28"/>
          <w:szCs w:val="28"/>
        </w:rPr>
        <w:t xml:space="preserve"> млн. руб.), приходится на 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ООО «</w:t>
      </w:r>
      <w:proofErr w:type="spellStart"/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Комацо</w:t>
      </w:r>
      <w:proofErr w:type="spellEnd"/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» - российско-германское предприятие, трикотажная фабрика полного цикла по производству повседневного и функционального белья и полотна. </w:t>
      </w:r>
      <w:r w:rsidRPr="001B4BAC">
        <w:rPr>
          <w:rFonts w:ascii="Times New Roman" w:eastAsiaTheme="majorEastAsia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</w:p>
    <w:p w:rsidR="000A37FF" w:rsidRPr="001B4BAC" w:rsidRDefault="000A37FF" w:rsidP="000A37FF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iCs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 оценке в 202</w:t>
      </w:r>
      <w:r w:rsidR="00992BA0"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году объём составит </w:t>
      </w:r>
      <w:r w:rsidR="00490F87"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555,2 млн. руб. (95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%</w:t>
      </w:r>
      <w:r w:rsidR="00490F87"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к АППГ)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0A37FF" w:rsidRPr="001B4BAC" w:rsidRDefault="000A37FF" w:rsidP="000A37FF">
      <w:pPr>
        <w:pStyle w:val="a6"/>
        <w:jc w:val="center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hAnsi="Times New Roman"/>
          <w:b/>
          <w:bCs/>
          <w:color w:val="000000" w:themeColor="text1"/>
          <w:sz w:val="28"/>
          <w:szCs w:val="28"/>
        </w:rPr>
        <w:t>Сельское хозяйство</w:t>
      </w:r>
    </w:p>
    <w:p w:rsidR="000A37FF" w:rsidRPr="001B4BAC" w:rsidRDefault="000A37FF" w:rsidP="000A37FF">
      <w:pPr>
        <w:pStyle w:val="a6"/>
        <w:jc w:val="center"/>
        <w:rPr>
          <w:rFonts w:ascii="Times New Roman" w:hAnsi="Times New Roman"/>
          <w:color w:val="0070C0"/>
          <w:sz w:val="24"/>
          <w:szCs w:val="24"/>
        </w:rPr>
      </w:pPr>
    </w:p>
    <w:p w:rsidR="000A37FF" w:rsidRPr="001B4BAC" w:rsidRDefault="000A37FF" w:rsidP="000A37FF">
      <w:pPr>
        <w:pStyle w:val="a6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4BAC">
        <w:rPr>
          <w:rFonts w:ascii="Times New Roman" w:hAnsi="Times New Roman"/>
          <w:color w:val="000000" w:themeColor="text1"/>
          <w:sz w:val="28"/>
          <w:szCs w:val="28"/>
        </w:rPr>
        <w:t>Доля предприятий этого вида экономической деятельности в общем объёме отгруженных товаров собственного производства, выполненных работ и услуг крупных и средних предприятий и организаций, осуществляющих деятельность на территории Тихвинского района, незначительна – 1,</w:t>
      </w:r>
      <w:r w:rsidR="00D12016" w:rsidRPr="001B4BA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%. Статистическое наблюдение осуществляется по 2 крупным сельхозпредприятиям (АО «Культура-Агро», ЗАО «Сельхозпредприятие Андреевское»). </w:t>
      </w:r>
    </w:p>
    <w:p w:rsidR="000A37FF" w:rsidRPr="001B4BAC" w:rsidRDefault="000A37FF" w:rsidP="000A37FF">
      <w:pPr>
        <w:pStyle w:val="a3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4BAC">
        <w:rPr>
          <w:rFonts w:ascii="Times New Roman" w:hAnsi="Times New Roman"/>
          <w:color w:val="000000" w:themeColor="text1"/>
          <w:sz w:val="28"/>
          <w:szCs w:val="28"/>
        </w:rPr>
        <w:t>В 202</w:t>
      </w:r>
      <w:r w:rsidR="00E7050C" w:rsidRPr="001B4BA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году хозяйственную деятельность в сфере агропромышленного комплекса района осуществляли </w:t>
      </w:r>
      <w:r w:rsidR="00E7050C" w:rsidRPr="001B4BAC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сельскохозяйственных </w:t>
      </w:r>
      <w:proofErr w:type="gramStart"/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предприятия, </w:t>
      </w:r>
      <w:r w:rsidR="00E7050C"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proofErr w:type="gramEnd"/>
      <w:r w:rsidR="00E7050C"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            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>3 рыбоводных хозяйства, 1</w:t>
      </w:r>
      <w:r w:rsidR="00E7050C" w:rsidRPr="001B4BAC">
        <w:rPr>
          <w:rFonts w:ascii="Times New Roman" w:hAnsi="Times New Roman"/>
          <w:color w:val="000000" w:themeColor="text1"/>
          <w:sz w:val="28"/>
          <w:szCs w:val="28"/>
        </w:rPr>
        <w:t>0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крестьянских (фермерских) хозяйств. Специализация сельскохозяйственных предприятий – молочно-мясное животноводство, крестьянских (фермерских) хозяйств – молочное животноводство, птицеводство, картофелеводство, ягодные культуры, пчеловодство. Большое внимание уделяется откорму бычков, сохранению высокопродуктивного стада крупного рогатого скота.</w:t>
      </w:r>
    </w:p>
    <w:p w:rsidR="000A37FF" w:rsidRPr="001B4BAC" w:rsidRDefault="000A37FF" w:rsidP="000A37FF">
      <w:pPr>
        <w:pStyle w:val="a3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proofErr w:type="spellStart"/>
      <w:r w:rsidRPr="001B4BAC">
        <w:rPr>
          <w:rFonts w:ascii="Times New Roman" w:hAnsi="Times New Roman"/>
          <w:color w:val="000000" w:themeColor="text1"/>
          <w:sz w:val="28"/>
          <w:szCs w:val="28"/>
        </w:rPr>
        <w:t>Рыбохозяйственный</w:t>
      </w:r>
      <w:proofErr w:type="spellEnd"/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комплекс представлен тремя рыбоводными хозяйствами, два занимаются выращиванием товарной форели, одно – выращивает посадочный материал рыб.</w:t>
      </w:r>
    </w:p>
    <w:p w:rsidR="000A37FF" w:rsidRPr="001B4BAC" w:rsidRDefault="000A37FF" w:rsidP="000A37FF">
      <w:pPr>
        <w:pStyle w:val="a6"/>
        <w:ind w:firstLine="68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4BAC">
        <w:rPr>
          <w:rFonts w:ascii="Times New Roman" w:hAnsi="Times New Roman"/>
          <w:b/>
          <w:color w:val="000000" w:themeColor="text1"/>
          <w:sz w:val="28"/>
          <w:szCs w:val="28"/>
        </w:rPr>
        <w:t>В 1 полугодии 202</w:t>
      </w:r>
      <w:r w:rsidR="001C4674" w:rsidRPr="001B4BAC">
        <w:rPr>
          <w:rFonts w:ascii="Times New Roman" w:hAnsi="Times New Roman"/>
          <w:b/>
          <w:color w:val="000000" w:themeColor="text1"/>
          <w:sz w:val="28"/>
          <w:szCs w:val="28"/>
        </w:rPr>
        <w:t>3</w:t>
      </w:r>
      <w:r w:rsidRPr="001B4BA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года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объёмы отгрузки, учитываемые отделом государственной статистики, составили </w:t>
      </w:r>
      <w:r w:rsidR="00A15A51" w:rsidRPr="001B4BAC">
        <w:rPr>
          <w:rFonts w:ascii="Times New Roman" w:hAnsi="Times New Roman"/>
          <w:color w:val="000000" w:themeColor="text1"/>
          <w:sz w:val="28"/>
          <w:szCs w:val="28"/>
        </w:rPr>
        <w:t>49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>5,</w:t>
      </w:r>
      <w:r w:rsidR="00A15A51" w:rsidRPr="001B4BAC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млн. руб. или 9</w:t>
      </w:r>
      <w:r w:rsidR="00A15A51" w:rsidRPr="001B4BA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% к АППГ в сопоставимых ценах. </w:t>
      </w:r>
    </w:p>
    <w:p w:rsidR="000A37FF" w:rsidRPr="001B4BAC" w:rsidRDefault="000A37FF" w:rsidP="000A37FF">
      <w:pPr>
        <w:spacing w:after="0" w:line="240" w:lineRule="auto"/>
        <w:ind w:firstLine="680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hAnsi="Times New Roman"/>
          <w:color w:val="000000" w:themeColor="text1"/>
          <w:sz w:val="28"/>
          <w:szCs w:val="28"/>
        </w:rPr>
        <w:t>Производство мяса составило 1</w:t>
      </w:r>
      <w:r w:rsidR="00BB41FD" w:rsidRPr="001B4BAC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>5,</w:t>
      </w:r>
      <w:r w:rsidR="00BB41FD" w:rsidRPr="001B4BAC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т (</w:t>
      </w:r>
      <w:r w:rsidR="00BB41FD" w:rsidRPr="001B4BAC">
        <w:rPr>
          <w:rFonts w:ascii="Times New Roman" w:hAnsi="Times New Roman"/>
          <w:color w:val="000000" w:themeColor="text1"/>
          <w:sz w:val="28"/>
          <w:szCs w:val="28"/>
        </w:rPr>
        <w:t>9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2% к уровню прошлого года), валовое производство молока – </w:t>
      </w:r>
      <w:r w:rsidR="00BB41FD" w:rsidRPr="001B4BAC">
        <w:rPr>
          <w:rFonts w:ascii="Times New Roman" w:hAnsi="Times New Roman"/>
          <w:color w:val="000000" w:themeColor="text1"/>
          <w:sz w:val="28"/>
          <w:szCs w:val="28"/>
        </w:rPr>
        <w:t>6 478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т (</w:t>
      </w:r>
      <w:r w:rsidR="00BB41FD" w:rsidRPr="001B4BAC">
        <w:rPr>
          <w:rFonts w:ascii="Times New Roman" w:hAnsi="Times New Roman"/>
          <w:color w:val="000000" w:themeColor="text1"/>
          <w:sz w:val="28"/>
          <w:szCs w:val="28"/>
        </w:rPr>
        <w:t>11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5%), надой молока на 1 фуражную корову </w:t>
      </w:r>
      <w:r w:rsidR="00BB41FD" w:rsidRPr="001B4BAC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BB41FD" w:rsidRPr="001B4BAC">
        <w:rPr>
          <w:rFonts w:ascii="Times New Roman" w:hAnsi="Times New Roman"/>
          <w:color w:val="000000" w:themeColor="text1"/>
          <w:sz w:val="28"/>
          <w:szCs w:val="28"/>
        </w:rPr>
        <w:t>3 225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кг (</w:t>
      </w:r>
      <w:r w:rsidR="00BB41FD" w:rsidRPr="001B4BAC">
        <w:rPr>
          <w:rFonts w:ascii="Times New Roman" w:hAnsi="Times New Roman"/>
          <w:color w:val="000000" w:themeColor="text1"/>
          <w:sz w:val="28"/>
          <w:szCs w:val="28"/>
        </w:rPr>
        <w:t>115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>%),</w:t>
      </w:r>
      <w:r w:rsidR="00BB41FD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производство товарной рыбы – 1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0,</w:t>
      </w:r>
      <w:r w:rsidR="00BB41FD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тонн (5</w:t>
      </w:r>
      <w:r w:rsidR="00BB41FD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0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%), посадочного материала 6</w:t>
      </w:r>
      <w:r w:rsidR="00BB41FD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7,1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т (120%).  </w:t>
      </w:r>
    </w:p>
    <w:p w:rsidR="000A37FF" w:rsidRPr="001B4BAC" w:rsidRDefault="000A37FF" w:rsidP="000A37F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B4BAC">
        <w:rPr>
          <w:rFonts w:ascii="Times New Roman" w:hAnsi="Times New Roman"/>
          <w:color w:val="000000" w:themeColor="text1"/>
          <w:sz w:val="28"/>
          <w:szCs w:val="28"/>
          <w:u w:val="single"/>
        </w:rPr>
        <w:t>С учётом деятельности организаций всех форм собственности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, в </w:t>
      </w:r>
      <w:proofErr w:type="spellStart"/>
      <w:r w:rsidRPr="001B4BAC">
        <w:rPr>
          <w:rFonts w:ascii="Times New Roman" w:hAnsi="Times New Roman"/>
          <w:color w:val="000000" w:themeColor="text1"/>
          <w:sz w:val="28"/>
          <w:szCs w:val="28"/>
        </w:rPr>
        <w:t>т.ч</w:t>
      </w:r>
      <w:proofErr w:type="spellEnd"/>
      <w:r w:rsidRPr="001B4BAC">
        <w:rPr>
          <w:rFonts w:ascii="Times New Roman" w:hAnsi="Times New Roman"/>
          <w:color w:val="000000" w:themeColor="text1"/>
          <w:sz w:val="28"/>
          <w:szCs w:val="28"/>
        </w:rPr>
        <w:t>. фермерских (крестьянских) хозяйств и ЛПХ, объ</w:t>
      </w:r>
      <w:r w:rsidR="006002B9" w:rsidRPr="001B4BAC">
        <w:rPr>
          <w:rFonts w:ascii="Times New Roman" w:hAnsi="Times New Roman"/>
          <w:color w:val="000000" w:themeColor="text1"/>
          <w:sz w:val="28"/>
          <w:szCs w:val="28"/>
        </w:rPr>
        <w:t>ё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>м продукции в хозяйствах всех категорий за 202</w:t>
      </w:r>
      <w:r w:rsidR="00931CD3" w:rsidRPr="001B4BA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год ожидается около </w:t>
      </w:r>
      <w:r w:rsidR="005B60B2" w:rsidRPr="001B4BAC">
        <w:rPr>
          <w:rFonts w:ascii="Times New Roman" w:hAnsi="Times New Roman"/>
          <w:color w:val="000000" w:themeColor="text1"/>
          <w:sz w:val="28"/>
          <w:szCs w:val="28"/>
        </w:rPr>
        <w:t>771,9 млн. руб. (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>10</w:t>
      </w:r>
      <w:r w:rsidR="005B60B2" w:rsidRPr="001B4BAC">
        <w:rPr>
          <w:rFonts w:ascii="Times New Roman" w:hAnsi="Times New Roman"/>
          <w:color w:val="000000" w:themeColor="text1"/>
          <w:sz w:val="28"/>
          <w:szCs w:val="28"/>
        </w:rPr>
        <w:t>6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5B60B2" w:rsidRPr="001B4BA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>% к объёмам 202</w:t>
      </w:r>
      <w:r w:rsidR="005B60B2" w:rsidRPr="001B4BA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года хозяйств этих же категорий</w:t>
      </w:r>
      <w:r w:rsidR="005B60B2" w:rsidRPr="001B4BAC">
        <w:rPr>
          <w:rFonts w:ascii="Times New Roman" w:hAnsi="Times New Roman"/>
          <w:color w:val="000000" w:themeColor="text1"/>
          <w:sz w:val="28"/>
          <w:szCs w:val="28"/>
        </w:rPr>
        <w:t>)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2C328D" w:rsidRDefault="002C328D" w:rsidP="000A37FF">
      <w:pPr>
        <w:spacing w:after="0" w:line="240" w:lineRule="auto"/>
        <w:ind w:left="2832" w:firstLine="708"/>
        <w:rPr>
          <w:rFonts w:ascii="Times New Roman" w:hAnsi="Times New Roman"/>
          <w:b/>
          <w:color w:val="0070C0"/>
          <w:sz w:val="28"/>
          <w:szCs w:val="28"/>
        </w:rPr>
      </w:pPr>
    </w:p>
    <w:p w:rsidR="000A37FF" w:rsidRPr="001B4BAC" w:rsidRDefault="000A37FF" w:rsidP="000A37FF">
      <w:pPr>
        <w:spacing w:after="0" w:line="240" w:lineRule="auto"/>
        <w:ind w:left="2832" w:firstLine="708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1B4BAC">
        <w:rPr>
          <w:rFonts w:ascii="Times New Roman" w:hAnsi="Times New Roman"/>
          <w:b/>
          <w:color w:val="000000" w:themeColor="text1"/>
          <w:sz w:val="28"/>
          <w:szCs w:val="28"/>
        </w:rPr>
        <w:t>Строительство</w:t>
      </w:r>
    </w:p>
    <w:p w:rsidR="000A37FF" w:rsidRPr="001B4BAC" w:rsidRDefault="000A37FF" w:rsidP="000A37FF">
      <w:pPr>
        <w:pStyle w:val="a3"/>
        <w:jc w:val="both"/>
        <w:rPr>
          <w:rFonts w:ascii="Times New Roman" w:hAnsi="Times New Roman"/>
          <w:color w:val="0070C0"/>
          <w:sz w:val="28"/>
          <w:szCs w:val="28"/>
        </w:rPr>
      </w:pPr>
    </w:p>
    <w:p w:rsidR="000A37FF" w:rsidRPr="001B4BAC" w:rsidRDefault="000A37FF" w:rsidP="000A37FF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hAnsi="Times New Roman"/>
          <w:color w:val="000000" w:themeColor="text1"/>
          <w:sz w:val="28"/>
          <w:szCs w:val="28"/>
        </w:rPr>
        <w:t>На территории Тихвинского района органом государственной статистики осуществляется статистическое наблюдение по 2 предприятиям (ГАЗПРОМ ГАЗОРАСПРЕДЕЛЕНИЕ И МБУ «Зелёный город»), которые заявляют о деятельности в строительной отрасли.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0A37FF" w:rsidRPr="001B4BAC" w:rsidRDefault="000A37FF" w:rsidP="000A37F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За 1 полугодие 202</w:t>
      </w:r>
      <w:r w:rsidR="008175C1" w:rsidRPr="001B4BAC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3</w:t>
      </w:r>
      <w:r w:rsidRPr="001B4BAC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года 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предприятиями этой отрасли выполнены работы, услуги на сумму </w:t>
      </w:r>
      <w:r w:rsidR="008175C1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43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 w:rsidR="008175C1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7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млн. руб., что в сопоставимых ценах составило </w:t>
      </w:r>
      <w:r w:rsidR="008175C1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142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,8% к соответствующему периоду прошлого года.</w:t>
      </w:r>
      <w:r w:rsidRPr="001B4BAC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К концу 202</w:t>
      </w:r>
      <w:r w:rsidR="00A3022E" w:rsidRPr="001B4BAC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3</w:t>
      </w:r>
      <w:r w:rsidRPr="001B4BAC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 года ожидается на уровне </w:t>
      </w:r>
      <w:r w:rsidR="00514719" w:rsidRPr="001B4BAC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110,1</w:t>
      </w:r>
      <w:r w:rsidRPr="001B4BAC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 xml:space="preserve">% к 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АППГ.</w:t>
      </w:r>
    </w:p>
    <w:p w:rsidR="000A37FF" w:rsidRPr="001B4BAC" w:rsidRDefault="000A37FF" w:rsidP="000A37FF">
      <w:pPr>
        <w:pStyle w:val="a6"/>
        <w:ind w:firstLine="708"/>
        <w:jc w:val="both"/>
        <w:rPr>
          <w:rFonts w:ascii="Times New Roman" w:eastAsia="Calibri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hAnsi="Times New Roman"/>
          <w:color w:val="000000" w:themeColor="text1"/>
          <w:sz w:val="28"/>
          <w:szCs w:val="28"/>
        </w:rPr>
        <w:t>Ввод в действие жилых домов за 1 полугодие 202</w:t>
      </w:r>
      <w:r w:rsidR="003F4B6B" w:rsidRPr="001B4BA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года составил </w:t>
      </w:r>
      <w:r w:rsidR="00996980" w:rsidRPr="001B4BA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996980" w:rsidRPr="001B4BAC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тыс. кв. метров общей (полезной) площади. Ожидается, что объём введ</w:t>
      </w:r>
      <w:r w:rsidR="00996980" w:rsidRPr="001B4BAC">
        <w:rPr>
          <w:rFonts w:ascii="Times New Roman" w:hAnsi="Times New Roman"/>
          <w:color w:val="000000" w:themeColor="text1"/>
          <w:sz w:val="28"/>
          <w:szCs w:val="28"/>
        </w:rPr>
        <w:t>ё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>нного жилья в целом по году составит 1</w:t>
      </w:r>
      <w:r w:rsidR="00996980" w:rsidRPr="001B4BAC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тыс. кв. м.</w:t>
      </w:r>
    </w:p>
    <w:p w:rsidR="000A37FF" w:rsidRPr="001B4BAC" w:rsidRDefault="000A37FF" w:rsidP="000A37FF">
      <w:pPr>
        <w:spacing w:after="0" w:line="240" w:lineRule="auto"/>
        <w:jc w:val="center"/>
        <w:rPr>
          <w:rFonts w:ascii="Times New Roman" w:hAnsi="Times New Roman"/>
          <w:b/>
          <w:bCs/>
          <w:color w:val="0070C0"/>
          <w:sz w:val="28"/>
          <w:szCs w:val="28"/>
        </w:rPr>
      </w:pPr>
      <w:r w:rsidRPr="001B4BAC">
        <w:rPr>
          <w:rFonts w:ascii="Times New Roman" w:hAnsi="Times New Roman"/>
          <w:b/>
          <w:bCs/>
          <w:color w:val="000000" w:themeColor="text1"/>
          <w:sz w:val="28"/>
          <w:szCs w:val="28"/>
        </w:rPr>
        <w:t>Малый бизнес</w:t>
      </w:r>
    </w:p>
    <w:p w:rsidR="000A37FF" w:rsidRPr="001B4BAC" w:rsidRDefault="000A37FF" w:rsidP="000A37FF">
      <w:pPr>
        <w:spacing w:after="0" w:line="240" w:lineRule="auto"/>
        <w:jc w:val="center"/>
        <w:rPr>
          <w:rFonts w:ascii="Times New Roman" w:hAnsi="Times New Roman"/>
          <w:color w:val="0070C0"/>
          <w:sz w:val="28"/>
          <w:szCs w:val="28"/>
        </w:rPr>
      </w:pPr>
    </w:p>
    <w:p w:rsidR="000A37FF" w:rsidRPr="001B4BAC" w:rsidRDefault="000A37FF" w:rsidP="000A37FF">
      <w:pPr>
        <w:pStyle w:val="a6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1B4BAC">
        <w:rPr>
          <w:rFonts w:ascii="Times New Roman" w:hAnsi="Times New Roman"/>
          <w:color w:val="0070C0"/>
          <w:sz w:val="28"/>
          <w:szCs w:val="28"/>
          <w:shd w:val="clear" w:color="auto" w:fill="FFFFFF"/>
        </w:rPr>
        <w:tab/>
      </w:r>
      <w:r w:rsidRPr="001B4BA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Малое и среднее предпринимательство занимает важное место в экономике района и играет значительную роль в решении экономических и социальных задач, т.к. способствует созданию новых рабочих мест, насыщению потребительского рынка товарами и услугами, увеличению налоговой базы. Малые предприятия работают практически во всех секторах экономики района. </w:t>
      </w:r>
    </w:p>
    <w:p w:rsidR="000A37FF" w:rsidRPr="001B4BAC" w:rsidRDefault="000A37FF" w:rsidP="000A37FF">
      <w:pPr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hAnsi="Times New Roman"/>
          <w:color w:val="000000" w:themeColor="text1"/>
          <w:sz w:val="28"/>
          <w:szCs w:val="28"/>
        </w:rPr>
        <w:t>В районе активно работает структура поддержки малого предпринимательства, представленная автономной некоммерческой организацией АНО «Учебно-деловой центр».</w:t>
      </w:r>
      <w:r w:rsidRPr="001B4BAC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 </w:t>
      </w:r>
    </w:p>
    <w:p w:rsidR="000A37FF" w:rsidRPr="001B4BAC" w:rsidRDefault="000A37FF" w:rsidP="000A37FF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202</w:t>
      </w:r>
      <w:r w:rsidR="00562869"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году ожидается снижение оборота малых и средних предприятий в пределах 1</w:t>
      </w:r>
      <w:r w:rsidR="000B5527"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% к предыдущему году. </w:t>
      </w:r>
    </w:p>
    <w:p w:rsidR="000A37FF" w:rsidRPr="001B4BAC" w:rsidRDefault="000A37FF" w:rsidP="000A37FF">
      <w:pPr>
        <w:spacing w:after="0" w:line="240" w:lineRule="auto"/>
        <w:jc w:val="center"/>
        <w:rPr>
          <w:rFonts w:ascii="Times New Roman" w:hAnsi="Times New Roman"/>
          <w:b/>
          <w:bCs/>
          <w:color w:val="0070C0"/>
          <w:sz w:val="28"/>
          <w:szCs w:val="28"/>
        </w:rPr>
      </w:pPr>
    </w:p>
    <w:p w:rsidR="000A37FF" w:rsidRPr="001B4BAC" w:rsidRDefault="000A37FF" w:rsidP="000A37FF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1B4BAC">
        <w:rPr>
          <w:rFonts w:ascii="Times New Roman" w:hAnsi="Times New Roman"/>
          <w:b/>
          <w:bCs/>
          <w:color w:val="000000" w:themeColor="text1"/>
          <w:sz w:val="28"/>
          <w:szCs w:val="28"/>
        </w:rPr>
        <w:t>Потребительский рынок</w:t>
      </w:r>
    </w:p>
    <w:p w:rsidR="000A37FF" w:rsidRPr="001B4BAC" w:rsidRDefault="000A37FF" w:rsidP="000A37FF">
      <w:pPr>
        <w:spacing w:after="0" w:line="240" w:lineRule="auto"/>
        <w:ind w:firstLine="680"/>
        <w:jc w:val="both"/>
        <w:rPr>
          <w:rFonts w:ascii="Times New Roman" w:hAnsi="Times New Roman"/>
          <w:color w:val="0070C0"/>
          <w:sz w:val="28"/>
          <w:szCs w:val="28"/>
        </w:rPr>
      </w:pPr>
    </w:p>
    <w:p w:rsidR="000A37FF" w:rsidRPr="001B4BAC" w:rsidRDefault="000A37FF" w:rsidP="000A37FF">
      <w:pPr>
        <w:spacing w:after="0" w:line="240" w:lineRule="auto"/>
        <w:ind w:firstLine="708"/>
        <w:jc w:val="both"/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По состоянию </w:t>
      </w:r>
      <w:r w:rsidRPr="001B4BAC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на 01.07.202</w:t>
      </w:r>
      <w:r w:rsidR="00D3785F" w:rsidRPr="001B4BAC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>3</w:t>
      </w:r>
      <w:r w:rsidRPr="001B4BAC">
        <w:rPr>
          <w:rFonts w:ascii="Times New Roman" w:eastAsia="Times New Roman" w:hAnsi="Times New Roman"/>
          <w:b/>
          <w:color w:val="000000" w:themeColor="text1"/>
          <w:sz w:val="28"/>
          <w:szCs w:val="28"/>
          <w:lang w:eastAsia="ru-RU"/>
        </w:rPr>
        <w:t xml:space="preserve"> года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на территории Тихвинского района осуществляют деятельность </w:t>
      </w:r>
      <w:r w:rsidR="00B278A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701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предприяти</w:t>
      </w:r>
      <w:r w:rsidR="00B278A1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потребительского рынка.</w:t>
      </w:r>
    </w:p>
    <w:p w:rsidR="000A37FF" w:rsidRPr="001B4BAC" w:rsidRDefault="000A37FF" w:rsidP="000A37F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Оценочные показатели развития потребительского рынка муниципального образования по крупным и средним предприятиям </w:t>
      </w:r>
      <w:r w:rsidRPr="001B4BAC">
        <w:rPr>
          <w:rFonts w:ascii="Times New Roman" w:hAnsi="Times New Roman"/>
          <w:b/>
          <w:color w:val="000000" w:themeColor="text1"/>
          <w:sz w:val="28"/>
          <w:szCs w:val="28"/>
        </w:rPr>
        <w:t>за 202</w:t>
      </w:r>
      <w:r w:rsidR="00D3785F" w:rsidRPr="001B4BAC">
        <w:rPr>
          <w:rFonts w:ascii="Times New Roman" w:hAnsi="Times New Roman"/>
          <w:b/>
          <w:color w:val="000000" w:themeColor="text1"/>
          <w:sz w:val="28"/>
          <w:szCs w:val="28"/>
        </w:rPr>
        <w:t>3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год:</w:t>
      </w:r>
    </w:p>
    <w:p w:rsidR="000A37FF" w:rsidRPr="001B4BAC" w:rsidRDefault="000A37FF" w:rsidP="000A37F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680"/>
        <w:gridCol w:w="3705"/>
      </w:tblGrid>
      <w:tr w:rsidR="000A37FF" w:rsidRPr="001B4BAC" w:rsidTr="000A37FF">
        <w:trPr>
          <w:jc w:val="center"/>
        </w:trPr>
        <w:tc>
          <w:tcPr>
            <w:tcW w:w="4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A37FF" w:rsidRPr="001B4BAC" w:rsidRDefault="000A37F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B4BA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оборот розничной торговли </w:t>
            </w:r>
          </w:p>
        </w:tc>
        <w:tc>
          <w:tcPr>
            <w:tcW w:w="3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A37FF" w:rsidRPr="001B4BAC" w:rsidRDefault="000A37FF" w:rsidP="00890352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B4BA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 </w:t>
            </w:r>
            <w:r w:rsidR="00890352" w:rsidRPr="001B4BA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</w:t>
            </w:r>
            <w:r w:rsidRPr="001B4BA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12</w:t>
            </w:r>
            <w:r w:rsidR="00890352" w:rsidRPr="001B4BA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 176,8</w:t>
            </w:r>
            <w:r w:rsidRPr="001B4BA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млн. руб. (1</w:t>
            </w:r>
            <w:r w:rsidR="00890352" w:rsidRPr="001B4BA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04</w:t>
            </w:r>
            <w:r w:rsidRPr="001B4BA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</w:t>
            </w:r>
            <w:r w:rsidR="00890352" w:rsidRPr="001B4BA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2</w:t>
            </w:r>
            <w:r w:rsidRPr="001B4BA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%)</w:t>
            </w:r>
          </w:p>
        </w:tc>
      </w:tr>
      <w:tr w:rsidR="000A37FF" w:rsidRPr="001B4BAC" w:rsidTr="000A37FF">
        <w:trPr>
          <w:jc w:val="center"/>
        </w:trPr>
        <w:tc>
          <w:tcPr>
            <w:tcW w:w="46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A37FF" w:rsidRPr="001B4BAC" w:rsidRDefault="000A37FF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B4BA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объём платных услуг населению </w:t>
            </w:r>
          </w:p>
        </w:tc>
        <w:tc>
          <w:tcPr>
            <w:tcW w:w="37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0A37FF" w:rsidRPr="001B4BAC" w:rsidRDefault="000A37FF" w:rsidP="00C410BB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1B4BA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-     </w:t>
            </w:r>
            <w:r w:rsidR="00C410BB" w:rsidRPr="001B4BA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823,7</w:t>
            </w:r>
            <w:r w:rsidRPr="001B4BA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 млн. руб. (10</w:t>
            </w:r>
            <w:r w:rsidR="00C410BB" w:rsidRPr="001B4BA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0</w:t>
            </w:r>
            <w:r w:rsidRPr="001B4BA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,</w:t>
            </w:r>
            <w:r w:rsidR="00C410BB" w:rsidRPr="001B4BA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9</w:t>
            </w:r>
            <w:r w:rsidRPr="001B4BAC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%)</w:t>
            </w:r>
          </w:p>
        </w:tc>
      </w:tr>
    </w:tbl>
    <w:p w:rsidR="000A37FF" w:rsidRPr="001B4BAC" w:rsidRDefault="000A37FF" w:rsidP="000A37FF">
      <w:pPr>
        <w:pStyle w:val="a6"/>
        <w:jc w:val="both"/>
        <w:rPr>
          <w:rFonts w:ascii="Times New Roman" w:hAnsi="Times New Roman"/>
          <w:bCs/>
          <w:color w:val="0070C0"/>
          <w:sz w:val="28"/>
          <w:szCs w:val="28"/>
          <w:lang w:eastAsia="ru-RU"/>
        </w:rPr>
      </w:pPr>
    </w:p>
    <w:p w:rsidR="000A37FF" w:rsidRPr="001B4BAC" w:rsidRDefault="000A37FF" w:rsidP="000A37FF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B4BAC">
        <w:rPr>
          <w:rFonts w:ascii="Times New Roman" w:hAnsi="Times New Roman"/>
          <w:b/>
          <w:bCs/>
          <w:color w:val="000000" w:themeColor="text1"/>
          <w:sz w:val="28"/>
          <w:szCs w:val="28"/>
        </w:rPr>
        <w:t>Инвестиции</w:t>
      </w:r>
    </w:p>
    <w:p w:rsidR="000A37FF" w:rsidRPr="001B4BAC" w:rsidRDefault="000A37FF" w:rsidP="000A37FF">
      <w:pPr>
        <w:spacing w:after="0" w:line="240" w:lineRule="auto"/>
        <w:jc w:val="both"/>
        <w:rPr>
          <w:rFonts w:ascii="Times New Roman" w:eastAsia="Times New Roman" w:hAnsi="Times New Roman"/>
          <w:color w:val="0070C0"/>
          <w:sz w:val="28"/>
          <w:szCs w:val="28"/>
          <w:lang w:eastAsia="ru-RU"/>
        </w:rPr>
      </w:pPr>
    </w:p>
    <w:p w:rsidR="000A37FF" w:rsidRPr="001B4BAC" w:rsidRDefault="000A37FF" w:rsidP="000A37F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За </w:t>
      </w:r>
      <w:r w:rsidRPr="001B4BAC">
        <w:rPr>
          <w:rFonts w:ascii="Times New Roman" w:hAnsi="Times New Roman"/>
          <w:b/>
          <w:color w:val="000000" w:themeColor="text1"/>
          <w:sz w:val="28"/>
          <w:szCs w:val="28"/>
        </w:rPr>
        <w:t>январь - июнь 202</w:t>
      </w:r>
      <w:r w:rsidR="001F2AEF" w:rsidRPr="001B4BAC">
        <w:rPr>
          <w:rFonts w:ascii="Times New Roman" w:hAnsi="Times New Roman"/>
          <w:b/>
          <w:color w:val="000000" w:themeColor="text1"/>
          <w:sz w:val="28"/>
          <w:szCs w:val="28"/>
        </w:rPr>
        <w:t>3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года общий объём инвестиций в основной капитал крупных и средних предприятий и организаций Тихвинского района составил </w:t>
      </w:r>
      <w:r w:rsidR="00A102AF" w:rsidRPr="001B4BAC">
        <w:rPr>
          <w:rFonts w:ascii="Times New Roman" w:hAnsi="Times New Roman"/>
          <w:color w:val="000000" w:themeColor="text1"/>
          <w:sz w:val="28"/>
          <w:szCs w:val="28"/>
        </w:rPr>
        <w:t>575,3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млн. руб., что составляет </w:t>
      </w:r>
      <w:r w:rsidR="00A102AF" w:rsidRPr="001B4BAC">
        <w:rPr>
          <w:rFonts w:ascii="Times New Roman" w:hAnsi="Times New Roman"/>
          <w:color w:val="000000" w:themeColor="text1"/>
          <w:sz w:val="28"/>
          <w:szCs w:val="28"/>
        </w:rPr>
        <w:t>88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,6% АППГ. </w:t>
      </w:r>
    </w:p>
    <w:p w:rsidR="000A37FF" w:rsidRPr="001B4BAC" w:rsidRDefault="000A37FF" w:rsidP="000A37FF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Основным источником финансирования инвестиций в основной капитал крупных и средних организаций являлись собственные средства предприятий – </w:t>
      </w:r>
      <w:r w:rsidR="005851A1" w:rsidRPr="001B4BA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391,5</w:t>
      </w:r>
      <w:r w:rsidRPr="001B4BA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млн. рублей, или 6</w:t>
      </w:r>
      <w:r w:rsidR="005851A1" w:rsidRPr="001B4BA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8,</w:t>
      </w:r>
      <w:r w:rsidRPr="001B4BAC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1% от общего объёма инвестиций. 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Объ</w:t>
      </w:r>
      <w:r w:rsidR="005851A1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ё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 привлеч</w:t>
      </w:r>
      <w:r w:rsidR="005851A1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ё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нных средств с начала года -  </w:t>
      </w:r>
      <w:r w:rsidR="005851A1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183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</w:t>
      </w:r>
      <w:r w:rsidR="005851A1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8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млн. рублей.  </w:t>
      </w:r>
    </w:p>
    <w:p w:rsidR="000A37FF" w:rsidRPr="001B4BAC" w:rsidRDefault="000A37FF" w:rsidP="000A37F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Инвестиции в основной капитал обрабатывающих производств продолжают иметь значительный вес в общем показателе, из общей суммы инвестиций их доля составила 3</w:t>
      </w:r>
      <w:r w:rsidR="005851A1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7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,5%. </w:t>
      </w:r>
    </w:p>
    <w:p w:rsidR="000A37FF" w:rsidRPr="001B4BAC" w:rsidRDefault="000A37FF" w:rsidP="000A37F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4BAC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а основании информации об основных производственных и экономических показателях, представленных предприятиями района 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>и оценке полученных статистических данных, по итогам 202</w:t>
      </w:r>
      <w:r w:rsidR="005510CF" w:rsidRPr="001B4BA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года </w:t>
      </w:r>
      <w:r w:rsidR="004D0DAD"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объём инвестиций 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ожидается </w:t>
      </w:r>
      <w:r w:rsidR="004D0DAD" w:rsidRPr="001B4BAC">
        <w:rPr>
          <w:rFonts w:ascii="Times New Roman" w:hAnsi="Times New Roman"/>
          <w:color w:val="000000" w:themeColor="text1"/>
          <w:sz w:val="28"/>
          <w:szCs w:val="28"/>
        </w:rPr>
        <w:t>в размере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4D0DAD" w:rsidRPr="001B4BAC">
        <w:rPr>
          <w:rFonts w:ascii="Times New Roman" w:hAnsi="Times New Roman"/>
          <w:color w:val="000000" w:themeColor="text1"/>
          <w:sz w:val="28"/>
          <w:szCs w:val="28"/>
        </w:rPr>
        <w:t>2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4D0DAD" w:rsidRPr="001B4BAC">
        <w:rPr>
          <w:rFonts w:ascii="Times New Roman" w:hAnsi="Times New Roman"/>
          <w:color w:val="000000" w:themeColor="text1"/>
          <w:sz w:val="28"/>
          <w:szCs w:val="28"/>
        </w:rPr>
        <w:t>5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млрд. руб. или </w:t>
      </w:r>
      <w:r w:rsidR="004D0DAD" w:rsidRPr="001B4BAC">
        <w:rPr>
          <w:rFonts w:ascii="Times New Roman" w:hAnsi="Times New Roman"/>
          <w:color w:val="000000" w:themeColor="text1"/>
          <w:sz w:val="28"/>
          <w:szCs w:val="28"/>
        </w:rPr>
        <w:t>102,6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% к АППГ. </w:t>
      </w:r>
    </w:p>
    <w:p w:rsidR="000A37FF" w:rsidRPr="001B4BAC" w:rsidRDefault="000A37FF" w:rsidP="000A37F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Распределение объёма инвестиций в основной капитал в 202</w:t>
      </w:r>
      <w:r w:rsidR="008C53A2"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году по видам экономической деятельности оценивается следующим образом:</w:t>
      </w:r>
    </w:p>
    <w:p w:rsidR="000A37FF" w:rsidRPr="001B4BAC" w:rsidRDefault="000A37FF" w:rsidP="000A37F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обрабатывающая промышленность – </w:t>
      </w:r>
      <w:r w:rsidR="004D0DAD"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1 305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млн руб. (или </w:t>
      </w:r>
      <w:r w:rsidR="009D26EE"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52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% от общего объёма инвестиций в основной капитал);</w:t>
      </w:r>
    </w:p>
    <w:p w:rsidR="000A37FF" w:rsidRPr="001B4BAC" w:rsidRDefault="000A37FF" w:rsidP="000A37F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обеспечение электроэнергией, газом и паром – </w:t>
      </w:r>
      <w:r w:rsidR="004D0DAD"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216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млн руб. (</w:t>
      </w:r>
      <w:r w:rsidR="009D26EE"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9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%);</w:t>
      </w:r>
    </w:p>
    <w:p w:rsidR="000A37FF" w:rsidRPr="001B4BAC" w:rsidRDefault="000A37FF" w:rsidP="000A37F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- сельское хозяйство, охота и лесное хозяйство – 76,5 млн руб. (</w:t>
      </w:r>
      <w:r w:rsidR="009D26EE"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3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%);</w:t>
      </w:r>
    </w:p>
    <w:p w:rsidR="000A37FF" w:rsidRPr="001B4BAC" w:rsidRDefault="000A37FF" w:rsidP="000A37F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</w:t>
      </w:r>
      <w:r w:rsidR="004D0DAD"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здравоохранение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– </w:t>
      </w:r>
      <w:r w:rsidR="004D0DAD"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250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млн руб. (1</w:t>
      </w:r>
      <w:r w:rsidR="009D26EE"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0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%);</w:t>
      </w:r>
    </w:p>
    <w:p w:rsidR="000A37FF" w:rsidRPr="001B4BAC" w:rsidRDefault="000A37FF" w:rsidP="000A37F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</w:t>
      </w:r>
      <w:r w:rsidR="004D0DAD"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образование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– </w:t>
      </w:r>
      <w:r w:rsidR="004D0DAD"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11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8,1 млн руб. (</w:t>
      </w:r>
      <w:r w:rsidR="009D26EE"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5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%);</w:t>
      </w:r>
    </w:p>
    <w:p w:rsidR="000A37FF" w:rsidRPr="001B4BAC" w:rsidRDefault="000A37FF" w:rsidP="000A37F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прочая деятельность – </w:t>
      </w:r>
      <w:r w:rsidR="009D26EE"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534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,4 млн руб. (</w:t>
      </w:r>
      <w:r w:rsidR="009D26EE"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21</w:t>
      </w:r>
      <w:r w:rsidRPr="001B4BAC">
        <w:rPr>
          <w:rFonts w:ascii="Times New Roman" w:hAnsi="Times New Roman"/>
          <w:color w:val="000000" w:themeColor="text1"/>
          <w:sz w:val="28"/>
          <w:szCs w:val="28"/>
          <w:lang w:eastAsia="ru-RU"/>
        </w:rPr>
        <w:t>%).</w:t>
      </w:r>
    </w:p>
    <w:p w:rsidR="000A37FF" w:rsidRPr="001B4BAC" w:rsidRDefault="000A37FF" w:rsidP="000A37F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По источникам финансирования инвестиции в </w:t>
      </w:r>
      <w:r w:rsidRPr="001B4BAC">
        <w:rPr>
          <w:rFonts w:ascii="Times New Roman" w:hAnsi="Times New Roman"/>
          <w:b/>
          <w:color w:val="000000" w:themeColor="text1"/>
          <w:sz w:val="28"/>
          <w:szCs w:val="28"/>
        </w:rPr>
        <w:t>202</w:t>
      </w:r>
      <w:r w:rsidR="008C53A2" w:rsidRPr="001B4BAC">
        <w:rPr>
          <w:rFonts w:ascii="Times New Roman" w:hAnsi="Times New Roman"/>
          <w:b/>
          <w:color w:val="000000" w:themeColor="text1"/>
          <w:sz w:val="28"/>
          <w:szCs w:val="28"/>
        </w:rPr>
        <w:t>3</w:t>
      </w:r>
      <w:r w:rsidRPr="001B4BAC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году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будут распределяться </w:t>
      </w:r>
      <w:r w:rsidR="00D5025F" w:rsidRPr="001B4BAC">
        <w:rPr>
          <w:rFonts w:ascii="Times New Roman" w:hAnsi="Times New Roman"/>
          <w:color w:val="000000" w:themeColor="text1"/>
          <w:sz w:val="28"/>
          <w:szCs w:val="28"/>
        </w:rPr>
        <w:t>следующим образом: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большей частью собственные средства предприятий – </w:t>
      </w:r>
      <w:r w:rsidR="00D5025F" w:rsidRPr="001B4BAC">
        <w:rPr>
          <w:rFonts w:ascii="Times New Roman" w:hAnsi="Times New Roman"/>
          <w:color w:val="000000" w:themeColor="text1"/>
          <w:sz w:val="28"/>
          <w:szCs w:val="28"/>
        </w:rPr>
        <w:t>68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>%, привлеч</w:t>
      </w:r>
      <w:r w:rsidR="00D5025F" w:rsidRPr="001B4BAC">
        <w:rPr>
          <w:rFonts w:ascii="Times New Roman" w:hAnsi="Times New Roman"/>
          <w:color w:val="000000" w:themeColor="text1"/>
          <w:sz w:val="28"/>
          <w:szCs w:val="28"/>
        </w:rPr>
        <w:t>ё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нные средства - </w:t>
      </w:r>
      <w:r w:rsidR="00D5025F" w:rsidRPr="001B4BAC">
        <w:rPr>
          <w:rFonts w:ascii="Times New Roman" w:hAnsi="Times New Roman"/>
          <w:color w:val="000000" w:themeColor="text1"/>
          <w:sz w:val="28"/>
          <w:szCs w:val="28"/>
        </w:rPr>
        <w:t>32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%. </w:t>
      </w:r>
    </w:p>
    <w:p w:rsidR="000A37FF" w:rsidRPr="001B4BAC" w:rsidRDefault="000A37FF" w:rsidP="000A37FF">
      <w:pPr>
        <w:spacing w:after="0" w:line="240" w:lineRule="auto"/>
        <w:ind w:firstLine="680"/>
        <w:jc w:val="both"/>
        <w:rPr>
          <w:rFonts w:ascii="Times New Roman" w:hAnsi="Times New Roman"/>
          <w:b/>
          <w:bCs/>
          <w:color w:val="0070C0"/>
          <w:sz w:val="24"/>
          <w:szCs w:val="24"/>
        </w:rPr>
      </w:pPr>
    </w:p>
    <w:p w:rsidR="000A37FF" w:rsidRPr="001B4BAC" w:rsidRDefault="000A37FF" w:rsidP="000A37FF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1B4BAC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Труд и занятость </w:t>
      </w:r>
    </w:p>
    <w:p w:rsidR="000A37FF" w:rsidRPr="001B4BAC" w:rsidRDefault="000A37FF" w:rsidP="000A37FF">
      <w:pPr>
        <w:spacing w:after="0" w:line="240" w:lineRule="auto"/>
        <w:ind w:firstLine="709"/>
        <w:jc w:val="center"/>
        <w:rPr>
          <w:rFonts w:ascii="Times New Roman" w:hAnsi="Times New Roman"/>
          <w:color w:val="0070C0"/>
          <w:sz w:val="24"/>
          <w:szCs w:val="24"/>
        </w:rPr>
      </w:pPr>
    </w:p>
    <w:p w:rsidR="000A37FF" w:rsidRPr="001B4BAC" w:rsidRDefault="000A37FF" w:rsidP="000A37F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На 1 </w:t>
      </w:r>
      <w:proofErr w:type="gramStart"/>
      <w:r w:rsidRPr="001B4BAC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июля 202</w:t>
      </w:r>
      <w:r w:rsidR="001814DD" w:rsidRPr="001B4BAC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3</w:t>
      </w:r>
      <w:r w:rsidRPr="001B4BAC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 года</w:t>
      </w:r>
      <w:proofErr w:type="gramEnd"/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регистрируемый рынок труда характеризуется следующими основными показателями</w:t>
      </w:r>
      <w:r w:rsidRPr="001B4BAC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:</w:t>
      </w:r>
    </w:p>
    <w:p w:rsidR="000A37FF" w:rsidRPr="001B4BAC" w:rsidRDefault="000A37FF" w:rsidP="000A37FF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4BAC">
        <w:rPr>
          <w:rFonts w:ascii="Times New Roman" w:hAnsi="Times New Roman"/>
          <w:i/>
          <w:color w:val="000000" w:themeColor="text1"/>
          <w:sz w:val="28"/>
          <w:szCs w:val="28"/>
        </w:rPr>
        <w:t>Уровень регистрируемой безработицы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на 01.07.202</w:t>
      </w:r>
      <w:r w:rsidR="00E73700" w:rsidRPr="001B4BA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года 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составил </w:t>
      </w:r>
      <w:r w:rsidRPr="001B4BAC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0,</w:t>
      </w:r>
      <w:r w:rsidR="00E73700" w:rsidRPr="001B4BAC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31</w:t>
      </w:r>
      <w:r w:rsidRPr="001B4BAC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 xml:space="preserve">%, 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что на 0,</w:t>
      </w:r>
      <w:r w:rsidR="00E73700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35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п/п ниже к началу 202</w:t>
      </w:r>
      <w:r w:rsidR="00E73700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года (0,</w:t>
      </w:r>
      <w:r w:rsidR="00E73700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66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%)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A37FF" w:rsidRPr="001B4BAC" w:rsidRDefault="000A37FF" w:rsidP="000A37FF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hAnsi="Times New Roman"/>
          <w:i/>
          <w:color w:val="000000" w:themeColor="text1"/>
          <w:sz w:val="28"/>
          <w:szCs w:val="28"/>
        </w:rPr>
        <w:t xml:space="preserve">Число зарегистрированных безработных – </w:t>
      </w:r>
      <w:r w:rsidR="00E73700" w:rsidRPr="001B4BAC">
        <w:rPr>
          <w:rFonts w:ascii="Times New Roman" w:hAnsi="Times New Roman"/>
          <w:i/>
          <w:color w:val="000000" w:themeColor="text1"/>
          <w:sz w:val="28"/>
          <w:szCs w:val="28"/>
        </w:rPr>
        <w:t>1</w:t>
      </w:r>
      <w:r w:rsidRPr="001B4BAC">
        <w:rPr>
          <w:rFonts w:ascii="Times New Roman" w:hAnsi="Times New Roman"/>
          <w:i/>
          <w:color w:val="000000" w:themeColor="text1"/>
          <w:sz w:val="28"/>
          <w:szCs w:val="28"/>
        </w:rPr>
        <w:t>2</w:t>
      </w:r>
      <w:r w:rsidR="00E73700" w:rsidRPr="001B4BAC">
        <w:rPr>
          <w:rFonts w:ascii="Times New Roman" w:hAnsi="Times New Roman"/>
          <w:i/>
          <w:color w:val="000000" w:themeColor="text1"/>
          <w:sz w:val="28"/>
          <w:szCs w:val="28"/>
        </w:rPr>
        <w:t>5</w:t>
      </w:r>
      <w:r w:rsidRPr="001B4BAC">
        <w:rPr>
          <w:rFonts w:ascii="Times New Roman" w:hAnsi="Times New Roman"/>
          <w:i/>
          <w:color w:val="000000" w:themeColor="text1"/>
          <w:sz w:val="28"/>
          <w:szCs w:val="28"/>
        </w:rPr>
        <w:t xml:space="preserve"> человек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. По сравнению с началом года – снижение на </w:t>
      </w:r>
      <w:r w:rsidR="00E73700" w:rsidRPr="001B4BAC">
        <w:rPr>
          <w:rFonts w:ascii="Times New Roman" w:hAnsi="Times New Roman"/>
          <w:color w:val="000000" w:themeColor="text1"/>
          <w:sz w:val="28"/>
          <w:szCs w:val="28"/>
        </w:rPr>
        <w:t>137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человек. </w:t>
      </w:r>
    </w:p>
    <w:p w:rsidR="000A37FF" w:rsidRPr="001B4BAC" w:rsidRDefault="000A37FF" w:rsidP="000A37F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hAnsi="Times New Roman"/>
          <w:i/>
          <w:color w:val="000000" w:themeColor="text1"/>
          <w:sz w:val="28"/>
          <w:szCs w:val="28"/>
        </w:rPr>
        <w:tab/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 оценке к концу 202</w:t>
      </w:r>
      <w:r w:rsidR="00DD60B4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года уровень регистрируемой безработицы может увеличиться до </w:t>
      </w:r>
      <w:r w:rsidR="00CD56C9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0,4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% при численности официально зарегистрированных безработных </w:t>
      </w:r>
      <w:r w:rsidR="00CD56C9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14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0 человек.</w:t>
      </w:r>
    </w:p>
    <w:p w:rsidR="000A37FF" w:rsidRPr="001B4BAC" w:rsidRDefault="000A37FF" w:rsidP="000A37FF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Прогноз рынка труда опирается на позитивные ожидания в развитии всех сфер экономики региона, а также в части развития рынка труда (сохранение стабильности на рынке труда региона при некотором снижении безработицы). </w:t>
      </w:r>
    </w:p>
    <w:p w:rsidR="000A37FF" w:rsidRPr="001B4BAC" w:rsidRDefault="000A37FF" w:rsidP="000A37FF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 В условиях </w:t>
      </w:r>
      <w:proofErr w:type="spellStart"/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санкционного</w:t>
      </w:r>
      <w:proofErr w:type="spellEnd"/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давления, возникают риски по увольнению работников предприятий, на особом контроле находятся организации/предприятия, на которых возможно изменение занятости (введение режимов неполного рабочего времени, простоя/приостановки). </w:t>
      </w:r>
    </w:p>
    <w:p w:rsidR="000A37FF" w:rsidRPr="001B4BAC" w:rsidRDefault="000A37FF" w:rsidP="000A37FF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Организован превентивный мониторинг состояния рынка труда. Кроме официальных данных (поступающих с отчетов предприятий) также анализируется информация, поступающая из средств массовой информации, социальных сетей и других неофициальных источников о возможных изменениях в структуре занятости на предприятиях региона.</w:t>
      </w:r>
    </w:p>
    <w:p w:rsidR="000A37FF" w:rsidRPr="001B4BAC" w:rsidRDefault="000A37FF" w:rsidP="000A37FF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течение 202</w:t>
      </w:r>
      <w:r w:rsidR="00DD60B4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года в мониторинге находились </w:t>
      </w:r>
      <w:r w:rsidR="00D77CB8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12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организаций Тихвинского района. Проводится информирование работодателей о том, что своевременное уведомление о возникающих проблемах поможет минимизировать нежелательные последствия, связанные с занятостью работников на предприятиях и вовремя оказать поддержку, как работникам, так и самим предприятиям.</w:t>
      </w:r>
    </w:p>
    <w:p w:rsidR="000A37FF" w:rsidRPr="001B4BAC" w:rsidRDefault="000A37FF" w:rsidP="000A37FF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Служба занятости населения совместно с районной администрацией в оперативном режиме выходит на предприятия, оказывает помощь в решении проблем.</w:t>
      </w:r>
    </w:p>
    <w:p w:rsidR="000A37FF" w:rsidRPr="001B4BAC" w:rsidRDefault="000A37FF" w:rsidP="000A37FF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Для реализации мер </w:t>
      </w:r>
      <w:proofErr w:type="spellStart"/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проактивной</w:t>
      </w:r>
      <w:proofErr w:type="spellEnd"/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занятости высвобождающихся работников организована работа мобильных консультационных пунктов службы занятости, создаются временные пункты приёма специалистами службы занятости работников, находящихся под угрозой увольнения, на территории предприятий (1</w:t>
      </w:r>
      <w:r w:rsidR="00D77CB8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ед. в Тихвинском районе). </w:t>
      </w:r>
    </w:p>
    <w:p w:rsidR="000A37FF" w:rsidRPr="001B4BAC" w:rsidRDefault="000A37FF" w:rsidP="000A37FF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Правительство РФ выделило средства на реализацию дополнительных мероприятий, направленных на снижение напряжённости на рынке труда.  Ленинградская область (и Тихвинский район в том числе) получила указанные субсидии и уже реализует предусмотренные мероприятия:</w:t>
      </w:r>
    </w:p>
    <w:p w:rsidR="000A37FF" w:rsidRPr="001B4BAC" w:rsidRDefault="000A37FF" w:rsidP="000A37FF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1. Организации общественных работ для </w:t>
      </w:r>
      <w:r w:rsidR="00931DEB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0 человек ищущих и безработных граждан</w:t>
      </w:r>
      <w:r w:rsidR="00931DEB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0A37FF" w:rsidRPr="001B4BAC" w:rsidRDefault="000A37FF" w:rsidP="000A37FF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Работодатели могут получить субсидию на финансовое обеспечение части заработной платы временно трудоустроенных граждан из числа состоящих на учете в службе занятости, а также находящихся под риском увольнения.</w:t>
      </w:r>
    </w:p>
    <w:p w:rsidR="000A37FF" w:rsidRPr="001B4BAC" w:rsidRDefault="000A37FF" w:rsidP="000A37FF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Рабочие места для временных или общественных работ создаются на период до трёх месяцев. Работодателям предоставляется финансирование на выплату заработной платы с учётом выплат в страховые и внебюджетные фонды. Из средств федерального бюджета на это направление выделено для Тихвинского района 2 0</w:t>
      </w:r>
      <w:r w:rsidR="001E66FB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01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,0</w:t>
      </w:r>
      <w:r w:rsidR="001E66FB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6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тыс. руб. </w:t>
      </w:r>
    </w:p>
    <w:p w:rsidR="000A37FF" w:rsidRPr="001B4BAC" w:rsidRDefault="000A37FF" w:rsidP="000A37FF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2. Граждане, находящиеся под риском увольнения независимо от места жительства, могут обратиться в любой центр занятости Ленинградской области за получением услуг, которые раньше были доступны только безработным гражданам: помощь в выборе новой профессии, составлении резюме, снятия психологической напряжённости и возможность пройти обучение по направлению службы занятости.</w:t>
      </w:r>
    </w:p>
    <w:p w:rsidR="000A37FF" w:rsidRPr="001B4BAC" w:rsidRDefault="00743A71" w:rsidP="000A37FF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</w:t>
      </w:r>
      <w:r w:rsidR="000A37FF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  <w:r w:rsidRPr="001B4B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Субсидирование найма молодёжи в возрасте до 30 лет включительно и отдельных категорий граждан (субсидии работодателям при трудоустройстве в размере 3-х минимальных размеров оплаты труда с учетом районного коэффициента и взносов во внебюджетные фонды) через Фонд социального страхования.</w:t>
      </w:r>
    </w:p>
    <w:p w:rsidR="000A37FF" w:rsidRPr="001B4BAC" w:rsidRDefault="00E51DBB" w:rsidP="000A37FF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Начиная с 28 марта 2022 года работодатели (в 2023 году - 14 ед. в Тихвинском районе) по заявлению в Фонд социального страхования могут получить компенсацию на заработную плату, за трудоустройство по направлению службы занятости отдельных категорий граждан, в том числе: молодежи в возрасте до 30 лет включительно (222 человека трудоустроено) и безработных граждан, уволенных по сокращению кадров (3 человека трудоустроено).</w:t>
      </w:r>
    </w:p>
    <w:p w:rsidR="000A37FF" w:rsidRPr="001B4BAC" w:rsidRDefault="000A37FF" w:rsidP="000A37FF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Продолжается реализация традиционных мер поддержки занятости тихвинского населения: </w:t>
      </w:r>
    </w:p>
    <w:p w:rsidR="000A37FF" w:rsidRPr="001B4BAC" w:rsidRDefault="000A37FF" w:rsidP="000A37FF">
      <w:pPr>
        <w:pStyle w:val="a4"/>
        <w:numPr>
          <w:ilvl w:val="0"/>
          <w:numId w:val="4"/>
        </w:numPr>
        <w:tabs>
          <w:tab w:val="num" w:pos="0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 общественных работах приняло участие </w:t>
      </w:r>
      <w:r w:rsidR="00CB1C10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6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0 человек;</w:t>
      </w:r>
    </w:p>
    <w:p w:rsidR="000A37FF" w:rsidRPr="001B4BAC" w:rsidRDefault="000A37FF" w:rsidP="000A37FF">
      <w:pPr>
        <w:pStyle w:val="a4"/>
        <w:numPr>
          <w:ilvl w:val="0"/>
          <w:numId w:val="4"/>
        </w:numPr>
        <w:tabs>
          <w:tab w:val="num" w:pos="0"/>
          <w:tab w:val="left" w:pos="851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временно трудоустроено в свободное от учебы время </w:t>
      </w:r>
      <w:r w:rsidR="00CB1C10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9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8 несовершеннолетних граждан.</w:t>
      </w:r>
    </w:p>
    <w:p w:rsidR="000A37FF" w:rsidRPr="001B4BAC" w:rsidRDefault="000A37FF" w:rsidP="000A37FF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 начала 202</w:t>
      </w:r>
      <w:r w:rsidR="00CB1C10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года </w:t>
      </w:r>
      <w:r w:rsidR="00CB1C10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9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человек из числа бывших безработных уже зарегистрировали предпринимательскую деятельность, из них </w:t>
      </w:r>
      <w:r w:rsidR="00CB1C10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6 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человек</w:t>
      </w:r>
      <w:r w:rsidR="00CB1C10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получили финансовую помощь от службы занятости. </w:t>
      </w:r>
      <w:r w:rsidR="00CB1C10" w:rsidRPr="001B4B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12 человек из числа безработных стали </w:t>
      </w:r>
      <w:proofErr w:type="spellStart"/>
      <w:r w:rsidR="00CB1C10" w:rsidRPr="001B4B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самозанятыми</w:t>
      </w:r>
      <w:proofErr w:type="spellEnd"/>
      <w:r w:rsidR="00CB1C10" w:rsidRPr="001B4B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</w:t>
      </w:r>
    </w:p>
    <w:p w:rsidR="000A37FF" w:rsidRPr="001B4BAC" w:rsidRDefault="000A37FF" w:rsidP="000A37FF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 целях стимулирования работодателей на создание рабочих мест для трудоустройства инвалидов предоставляются субсидии на оборудование рабочего места и компенсацию части расходов работодателей на выплату заработной платы. </w:t>
      </w:r>
    </w:p>
    <w:p w:rsidR="000A37FF" w:rsidRPr="001B4BAC" w:rsidRDefault="000A37FF" w:rsidP="000A37FF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Создано </w:t>
      </w:r>
      <w:r w:rsidR="00CB1C10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рабоч</w:t>
      </w:r>
      <w:r w:rsidR="00CB1C10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ее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мест</w:t>
      </w:r>
      <w:r w:rsidR="00CB1C10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для трудоустройства </w:t>
      </w:r>
      <w:r w:rsidR="00CB1C10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инвалид</w:t>
      </w:r>
      <w:r w:rsidR="00CB1C10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Заключены договоры на компенсацию 50% заработной платы </w:t>
      </w:r>
      <w:r w:rsidR="00CB1C10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граждан из числа инвалидов</w:t>
      </w:r>
      <w:r w:rsidR="00CB1C10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CB1C10" w:rsidRPr="001B4B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(планируется еще 2 инвалида)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</w:p>
    <w:p w:rsidR="000A37FF" w:rsidRPr="001B4BAC" w:rsidRDefault="00CB1C10" w:rsidP="000A37FF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Субсидии предоставляются также и на возмещение части расходов на выплату заработной платы выпускников образовательных организаций – СПО и ВПО (10 человек) и несовершеннолетних граждан (1 человек).</w:t>
      </w:r>
      <w:r w:rsidR="000A37FF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</w:p>
    <w:p w:rsidR="000A37FF" w:rsidRPr="001B4BAC" w:rsidRDefault="000A37FF" w:rsidP="000A37FF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 числе мер поддержки занятости населения в 202</w:t>
      </w:r>
      <w:r w:rsidR="00161211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году за счет средств регионального бюджета организовано профессиональное обучение и дополнительное профессиональное образование безработных граждан – </w:t>
      </w:r>
      <w:r w:rsidR="00161211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54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человек</w:t>
      </w:r>
      <w:r w:rsidR="00161211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. </w:t>
      </w:r>
    </w:p>
    <w:p w:rsidR="000A37FF" w:rsidRPr="001B4BAC" w:rsidRDefault="000A37FF" w:rsidP="000A37FF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Продолжается реализация национального проекта «Демография», в рамках которого отдельные категории граждан могут пройти переподготовку или повышение квалификации. В 202</w:t>
      </w:r>
      <w:r w:rsidR="00161211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3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году было подано гражданами </w:t>
      </w:r>
      <w:r w:rsidR="00161211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122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заявк</w:t>
      </w:r>
      <w:r w:rsidR="00161211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</w:t>
      </w:r>
      <w:r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.</w:t>
      </w:r>
      <w:r w:rsidR="00161211" w:rsidRPr="001B4BA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161211" w:rsidRPr="001B4BA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Из всех одобренных 54 заявок от граждан сегодня проходят обучение 14 человек, 29 человек завершили обучение, остальные пройдут обучение до конца 2023 года.</w:t>
      </w:r>
    </w:p>
    <w:p w:rsidR="000A37FF" w:rsidRDefault="000A37FF" w:rsidP="000A37FF">
      <w:pPr>
        <w:spacing w:after="0" w:line="240" w:lineRule="auto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1B4BAC">
        <w:rPr>
          <w:rFonts w:ascii="Times New Roman" w:hAnsi="Times New Roman"/>
          <w:color w:val="000000" w:themeColor="text1"/>
          <w:sz w:val="28"/>
          <w:szCs w:val="28"/>
        </w:rPr>
        <w:t>Уровень заработной платы является важнейшим показателем жизненного уровня населения. Среднемесячная номинальная начисленная заработная плата работников крупных и средних предприятий по району за 6 месяцев 202</w:t>
      </w:r>
      <w:r w:rsidR="00203335" w:rsidRPr="001B4BAC">
        <w:rPr>
          <w:rFonts w:ascii="Times New Roman" w:hAnsi="Times New Roman"/>
          <w:color w:val="000000" w:themeColor="text1"/>
          <w:sz w:val="28"/>
          <w:szCs w:val="28"/>
        </w:rPr>
        <w:t>3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г. составила </w:t>
      </w:r>
      <w:r w:rsidR="00203335" w:rsidRPr="001B4BAC">
        <w:rPr>
          <w:rFonts w:ascii="Times New Roman" w:hAnsi="Times New Roman"/>
          <w:color w:val="000000" w:themeColor="text1"/>
          <w:sz w:val="28"/>
          <w:szCs w:val="28"/>
        </w:rPr>
        <w:t>60 087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рублей. За первое полугодие средняя заработная плата в районе увеличилась на </w:t>
      </w:r>
      <w:r w:rsidR="00203335" w:rsidRPr="001B4BAC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>4,</w:t>
      </w:r>
      <w:r w:rsidR="00203335" w:rsidRPr="001B4BAC">
        <w:rPr>
          <w:rFonts w:ascii="Times New Roman" w:hAnsi="Times New Roman"/>
          <w:color w:val="000000" w:themeColor="text1"/>
          <w:sz w:val="28"/>
          <w:szCs w:val="28"/>
        </w:rPr>
        <w:t>8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% по сравнению с соответствующим периодом прошлого года. Ожидаемый уровень начисленной среднемесячной заработной платы к концу 2022 года – </w:t>
      </w:r>
      <w:r w:rsidR="001D3DE3" w:rsidRPr="001B4BAC">
        <w:rPr>
          <w:rFonts w:ascii="Times New Roman" w:hAnsi="Times New Roman"/>
          <w:color w:val="000000" w:themeColor="text1"/>
          <w:sz w:val="28"/>
          <w:szCs w:val="28"/>
        </w:rPr>
        <w:t>60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8527F8" w:rsidRPr="001B4BAC">
        <w:rPr>
          <w:rFonts w:ascii="Times New Roman" w:hAnsi="Times New Roman"/>
          <w:color w:val="000000" w:themeColor="text1"/>
          <w:sz w:val="28"/>
          <w:szCs w:val="28"/>
        </w:rPr>
        <w:t>587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 xml:space="preserve"> рублей (</w:t>
      </w:r>
      <w:r w:rsidR="008527F8" w:rsidRPr="001B4BAC">
        <w:rPr>
          <w:rFonts w:ascii="Times New Roman" w:hAnsi="Times New Roman"/>
          <w:color w:val="000000" w:themeColor="text1"/>
          <w:sz w:val="28"/>
          <w:szCs w:val="28"/>
        </w:rPr>
        <w:t>14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8527F8" w:rsidRPr="001B4BAC">
        <w:rPr>
          <w:rFonts w:ascii="Times New Roman" w:hAnsi="Times New Roman"/>
          <w:color w:val="000000" w:themeColor="text1"/>
          <w:sz w:val="28"/>
          <w:szCs w:val="28"/>
        </w:rPr>
        <w:t>1</w:t>
      </w:r>
      <w:r w:rsidRPr="001B4BAC">
        <w:rPr>
          <w:rFonts w:ascii="Times New Roman" w:hAnsi="Times New Roman"/>
          <w:color w:val="000000" w:themeColor="text1"/>
          <w:sz w:val="28"/>
          <w:szCs w:val="28"/>
        </w:rPr>
        <w:t>% к АППГ).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A02CB2" w:rsidRDefault="00A02CB2"/>
    <w:sectPr w:rsidR="00A02C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556611"/>
    <w:multiLevelType w:val="hybridMultilevel"/>
    <w:tmpl w:val="B1F6C09C"/>
    <w:lvl w:ilvl="0" w:tplc="BD70E8C4">
      <w:start w:val="1"/>
      <w:numFmt w:val="bullet"/>
      <w:lvlText w:val="-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 w15:restartNumberingAfterBreak="0">
    <w:nsid w:val="5E900CFA"/>
    <w:multiLevelType w:val="hybridMultilevel"/>
    <w:tmpl w:val="45AEBB58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 w15:restartNumberingAfterBreak="0">
    <w:nsid w:val="7FF477CA"/>
    <w:multiLevelType w:val="hybridMultilevel"/>
    <w:tmpl w:val="C740667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7FF64201"/>
    <w:multiLevelType w:val="hybridMultilevel"/>
    <w:tmpl w:val="E1865128"/>
    <w:lvl w:ilvl="0" w:tplc="BD70E8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5C0"/>
    <w:rsid w:val="00014832"/>
    <w:rsid w:val="00096423"/>
    <w:rsid w:val="000A37FF"/>
    <w:rsid w:val="000B5527"/>
    <w:rsid w:val="000D25CA"/>
    <w:rsid w:val="00100831"/>
    <w:rsid w:val="00116926"/>
    <w:rsid w:val="001217B1"/>
    <w:rsid w:val="00161211"/>
    <w:rsid w:val="001814DD"/>
    <w:rsid w:val="001B4BAC"/>
    <w:rsid w:val="001C378F"/>
    <w:rsid w:val="001C4674"/>
    <w:rsid w:val="001D3DE3"/>
    <w:rsid w:val="001E66FB"/>
    <w:rsid w:val="001F2AEF"/>
    <w:rsid w:val="00203335"/>
    <w:rsid w:val="00243238"/>
    <w:rsid w:val="00276AEA"/>
    <w:rsid w:val="002C328D"/>
    <w:rsid w:val="002C7421"/>
    <w:rsid w:val="002D4F01"/>
    <w:rsid w:val="002E33A0"/>
    <w:rsid w:val="0031777A"/>
    <w:rsid w:val="00330E62"/>
    <w:rsid w:val="00385144"/>
    <w:rsid w:val="003A4019"/>
    <w:rsid w:val="003B5AF1"/>
    <w:rsid w:val="003C4DF9"/>
    <w:rsid w:val="003F4B6B"/>
    <w:rsid w:val="00435223"/>
    <w:rsid w:val="0047060F"/>
    <w:rsid w:val="0048527A"/>
    <w:rsid w:val="00490F87"/>
    <w:rsid w:val="00495C32"/>
    <w:rsid w:val="004B2319"/>
    <w:rsid w:val="004D0DAD"/>
    <w:rsid w:val="00514719"/>
    <w:rsid w:val="005510CF"/>
    <w:rsid w:val="00562869"/>
    <w:rsid w:val="0057724D"/>
    <w:rsid w:val="005851A1"/>
    <w:rsid w:val="00586A2A"/>
    <w:rsid w:val="005B60B2"/>
    <w:rsid w:val="005F1301"/>
    <w:rsid w:val="006002B9"/>
    <w:rsid w:val="00640F9F"/>
    <w:rsid w:val="00641763"/>
    <w:rsid w:val="007335AE"/>
    <w:rsid w:val="00743A71"/>
    <w:rsid w:val="007F688B"/>
    <w:rsid w:val="008175C1"/>
    <w:rsid w:val="00832ADD"/>
    <w:rsid w:val="008527F8"/>
    <w:rsid w:val="00890352"/>
    <w:rsid w:val="008C5114"/>
    <w:rsid w:val="008C53A2"/>
    <w:rsid w:val="009215C7"/>
    <w:rsid w:val="00931CD3"/>
    <w:rsid w:val="00931DEB"/>
    <w:rsid w:val="00937CC5"/>
    <w:rsid w:val="00940D28"/>
    <w:rsid w:val="009465C0"/>
    <w:rsid w:val="00992BA0"/>
    <w:rsid w:val="00996980"/>
    <w:rsid w:val="009B67FF"/>
    <w:rsid w:val="009D26EE"/>
    <w:rsid w:val="00A02CB2"/>
    <w:rsid w:val="00A102AF"/>
    <w:rsid w:val="00A15A51"/>
    <w:rsid w:val="00A3022E"/>
    <w:rsid w:val="00A306F3"/>
    <w:rsid w:val="00A76CA6"/>
    <w:rsid w:val="00A83FB6"/>
    <w:rsid w:val="00A92025"/>
    <w:rsid w:val="00AE0EDF"/>
    <w:rsid w:val="00B07074"/>
    <w:rsid w:val="00B278A1"/>
    <w:rsid w:val="00B90B75"/>
    <w:rsid w:val="00BB41FD"/>
    <w:rsid w:val="00C375CC"/>
    <w:rsid w:val="00C410BB"/>
    <w:rsid w:val="00C44C6B"/>
    <w:rsid w:val="00CB1C10"/>
    <w:rsid w:val="00CD56C9"/>
    <w:rsid w:val="00CF7758"/>
    <w:rsid w:val="00D12016"/>
    <w:rsid w:val="00D17898"/>
    <w:rsid w:val="00D3785F"/>
    <w:rsid w:val="00D5025F"/>
    <w:rsid w:val="00D6418B"/>
    <w:rsid w:val="00D77CB8"/>
    <w:rsid w:val="00DA60B3"/>
    <w:rsid w:val="00DB234C"/>
    <w:rsid w:val="00DD60B4"/>
    <w:rsid w:val="00DE6C7F"/>
    <w:rsid w:val="00DF2FF2"/>
    <w:rsid w:val="00E140CF"/>
    <w:rsid w:val="00E41B4D"/>
    <w:rsid w:val="00E51DBB"/>
    <w:rsid w:val="00E56D74"/>
    <w:rsid w:val="00E635A3"/>
    <w:rsid w:val="00E7050C"/>
    <w:rsid w:val="00E73700"/>
    <w:rsid w:val="00E93D25"/>
    <w:rsid w:val="00F4425E"/>
    <w:rsid w:val="00F771D9"/>
    <w:rsid w:val="00FF4D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2F52A5-AA1A-4B8B-BD4A-386272EA5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7FF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37F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99"/>
    <w:qFormat/>
    <w:rsid w:val="000A37FF"/>
    <w:pPr>
      <w:ind w:left="720"/>
      <w:contextualSpacing/>
    </w:pPr>
  </w:style>
  <w:style w:type="character" w:customStyle="1" w:styleId="a5">
    <w:name w:val="Обычн Знак"/>
    <w:link w:val="a6"/>
    <w:uiPriority w:val="99"/>
    <w:locked/>
    <w:rsid w:val="000A37FF"/>
  </w:style>
  <w:style w:type="paragraph" w:customStyle="1" w:styleId="a6">
    <w:name w:val="Обычн"/>
    <w:link w:val="a5"/>
    <w:uiPriority w:val="99"/>
    <w:rsid w:val="000A37FF"/>
    <w:pPr>
      <w:widowControl w:val="0"/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9B67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B67F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597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2751</Words>
  <Characters>15684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Булавко</dc:creator>
  <cp:keywords/>
  <dc:description/>
  <cp:lastModifiedBy>Мария Булавко</cp:lastModifiedBy>
  <cp:revision>3</cp:revision>
  <cp:lastPrinted>2023-11-10T09:02:00Z</cp:lastPrinted>
  <dcterms:created xsi:type="dcterms:W3CDTF">2023-09-14T05:32:00Z</dcterms:created>
  <dcterms:modified xsi:type="dcterms:W3CDTF">2023-11-10T09:04:00Z</dcterms:modified>
</cp:coreProperties>
</file>