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CF3998" w14:textId="5BE1B325" w:rsidR="00511245" w:rsidRPr="00840131" w:rsidRDefault="00511245" w:rsidP="00045F8C">
      <w:pPr>
        <w:spacing w:line="259" w:lineRule="auto"/>
        <w:ind w:left="6480"/>
        <w:rPr>
          <w:rFonts w:eastAsiaTheme="minorHAnsi"/>
          <w:kern w:val="2"/>
          <w:sz w:val="24"/>
          <w:szCs w:val="24"/>
          <w:lang w:eastAsia="en-US"/>
          <w14:ligatures w14:val="standardContextual"/>
        </w:rPr>
      </w:pPr>
      <w:bookmarkStart w:id="0" w:name="_GoBack"/>
      <w:r w:rsidRPr="00840131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>УТВЕРЖДЕНА</w:t>
      </w:r>
    </w:p>
    <w:p w14:paraId="234B51D8" w14:textId="77777777" w:rsidR="00045F8C" w:rsidRPr="00840131" w:rsidRDefault="00511245" w:rsidP="00045F8C">
      <w:pPr>
        <w:spacing w:line="259" w:lineRule="auto"/>
        <w:ind w:left="6480"/>
        <w:rPr>
          <w:rFonts w:eastAsiaTheme="minorHAnsi"/>
          <w:kern w:val="2"/>
          <w:sz w:val="24"/>
          <w:szCs w:val="24"/>
          <w:lang w:eastAsia="en-US"/>
          <w14:ligatures w14:val="standardContextual"/>
        </w:rPr>
      </w:pPr>
      <w:r w:rsidRPr="00840131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>постановлением администрации</w:t>
      </w:r>
    </w:p>
    <w:p w14:paraId="5DA1C951" w14:textId="3C5BA810" w:rsidR="00511245" w:rsidRPr="00840131" w:rsidRDefault="00511245" w:rsidP="00045F8C">
      <w:pPr>
        <w:spacing w:line="259" w:lineRule="auto"/>
        <w:ind w:left="6480"/>
        <w:rPr>
          <w:rFonts w:eastAsiaTheme="minorHAnsi"/>
          <w:kern w:val="2"/>
          <w:sz w:val="24"/>
          <w:szCs w:val="24"/>
          <w:lang w:eastAsia="en-US"/>
          <w14:ligatures w14:val="standardContextual"/>
        </w:rPr>
      </w:pPr>
      <w:r w:rsidRPr="00840131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>Тихвинского района</w:t>
      </w:r>
    </w:p>
    <w:p w14:paraId="22B50EDB" w14:textId="012BC38A" w:rsidR="00511245" w:rsidRPr="00840131" w:rsidRDefault="00045F8C" w:rsidP="00045F8C">
      <w:pPr>
        <w:spacing w:line="259" w:lineRule="auto"/>
        <w:ind w:left="6480"/>
        <w:rPr>
          <w:rFonts w:eastAsiaTheme="minorHAnsi"/>
          <w:kern w:val="2"/>
          <w:sz w:val="24"/>
          <w:szCs w:val="24"/>
          <w:lang w:eastAsia="en-US"/>
          <w14:ligatures w14:val="standardContextual"/>
        </w:rPr>
      </w:pPr>
      <w:r w:rsidRPr="00840131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>о</w:t>
      </w:r>
      <w:r w:rsidR="00511245" w:rsidRPr="00840131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 xml:space="preserve">т </w:t>
      </w:r>
      <w:r w:rsidR="008C0168" w:rsidRPr="00840131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 xml:space="preserve">30 октября 2023 г. </w:t>
      </w:r>
      <w:r w:rsidR="00511245" w:rsidRPr="00840131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 xml:space="preserve">№ </w:t>
      </w:r>
      <w:r w:rsidR="008C0168" w:rsidRPr="00840131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>01-2714-а</w:t>
      </w:r>
    </w:p>
    <w:p w14:paraId="1707A6A7" w14:textId="3B8D213C" w:rsidR="00511245" w:rsidRPr="00840131" w:rsidRDefault="00511245" w:rsidP="00045F8C">
      <w:pPr>
        <w:spacing w:line="259" w:lineRule="auto"/>
        <w:ind w:left="6480"/>
        <w:rPr>
          <w:rFonts w:eastAsiaTheme="minorHAnsi"/>
          <w:kern w:val="2"/>
          <w:sz w:val="24"/>
          <w:szCs w:val="24"/>
          <w:lang w:eastAsia="en-US"/>
          <w14:ligatures w14:val="standardContextual"/>
        </w:rPr>
      </w:pPr>
      <w:r w:rsidRPr="00840131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>(приложение)</w:t>
      </w:r>
    </w:p>
    <w:bookmarkEnd w:id="0"/>
    <w:p w14:paraId="1B9105E6" w14:textId="77777777" w:rsidR="00511245" w:rsidRPr="005D32BE" w:rsidRDefault="00511245" w:rsidP="00511245">
      <w:pPr>
        <w:spacing w:line="259" w:lineRule="auto"/>
        <w:jc w:val="right"/>
        <w:rPr>
          <w:rFonts w:eastAsiaTheme="minorHAnsi"/>
          <w:kern w:val="2"/>
          <w:szCs w:val="28"/>
          <w:lang w:eastAsia="en-US"/>
          <w14:ligatures w14:val="standardContextual"/>
        </w:rPr>
      </w:pPr>
    </w:p>
    <w:p w14:paraId="259C08FF" w14:textId="77777777" w:rsidR="00511245" w:rsidRPr="005D32BE" w:rsidRDefault="00511245" w:rsidP="00511245">
      <w:pPr>
        <w:spacing w:line="259" w:lineRule="auto"/>
        <w:jc w:val="right"/>
        <w:rPr>
          <w:rFonts w:eastAsiaTheme="minorHAnsi"/>
          <w:color w:val="000000"/>
          <w:kern w:val="2"/>
          <w:szCs w:val="28"/>
          <w:lang w:eastAsia="en-US"/>
          <w14:ligatures w14:val="standardContextual"/>
        </w:rPr>
      </w:pPr>
    </w:p>
    <w:p w14:paraId="6E11DA34" w14:textId="77777777" w:rsidR="00511245" w:rsidRPr="005D32BE" w:rsidRDefault="00511245" w:rsidP="00511245">
      <w:pPr>
        <w:spacing w:line="259" w:lineRule="auto"/>
        <w:jc w:val="center"/>
        <w:rPr>
          <w:rFonts w:eastAsiaTheme="minorHAnsi"/>
          <w:b/>
          <w:bCs/>
          <w:kern w:val="2"/>
          <w:szCs w:val="28"/>
          <w:lang w:eastAsia="en-US"/>
          <w14:ligatures w14:val="standardContextual"/>
        </w:rPr>
      </w:pPr>
      <w:r w:rsidRPr="005D32BE">
        <w:rPr>
          <w:rFonts w:eastAsiaTheme="minorHAnsi"/>
          <w:b/>
          <w:bCs/>
          <w:kern w:val="2"/>
          <w:szCs w:val="28"/>
          <w:lang w:eastAsia="en-US"/>
          <w14:ligatures w14:val="standardContextual"/>
        </w:rPr>
        <w:t>МУНИЦИПАЛЬНАЯ ПРОГРАММА</w:t>
      </w:r>
    </w:p>
    <w:p w14:paraId="3DECE63E" w14:textId="77777777" w:rsidR="00511245" w:rsidRPr="005D32BE" w:rsidRDefault="00511245" w:rsidP="00511245">
      <w:pPr>
        <w:spacing w:line="259" w:lineRule="auto"/>
        <w:jc w:val="center"/>
        <w:rPr>
          <w:rFonts w:eastAsiaTheme="minorHAnsi"/>
          <w:b/>
          <w:bCs/>
          <w:kern w:val="2"/>
          <w:szCs w:val="28"/>
          <w:lang w:eastAsia="en-US"/>
          <w14:ligatures w14:val="standardContextual"/>
        </w:rPr>
      </w:pPr>
      <w:r w:rsidRPr="005D32BE">
        <w:rPr>
          <w:rFonts w:eastAsiaTheme="minorHAnsi"/>
          <w:b/>
          <w:bCs/>
          <w:kern w:val="2"/>
          <w:szCs w:val="28"/>
          <w:lang w:eastAsia="en-US"/>
          <w14:ligatures w14:val="standardContextual"/>
        </w:rPr>
        <w:t>Тихвинского района</w:t>
      </w:r>
    </w:p>
    <w:p w14:paraId="44499AFC" w14:textId="77777777" w:rsidR="00511245" w:rsidRPr="005D32BE" w:rsidRDefault="00511245" w:rsidP="00511245">
      <w:pPr>
        <w:spacing w:line="259" w:lineRule="auto"/>
        <w:jc w:val="center"/>
        <w:rPr>
          <w:rFonts w:eastAsiaTheme="minorHAnsi"/>
          <w:b/>
          <w:bCs/>
          <w:kern w:val="2"/>
          <w:szCs w:val="28"/>
          <w:lang w:eastAsia="en-US"/>
          <w14:ligatures w14:val="standardContextual"/>
        </w:rPr>
      </w:pPr>
      <w:r w:rsidRPr="005D32BE">
        <w:rPr>
          <w:rFonts w:eastAsiaTheme="minorHAnsi"/>
          <w:b/>
          <w:bCs/>
          <w:kern w:val="2"/>
          <w:szCs w:val="28"/>
          <w:lang w:eastAsia="en-US"/>
          <w14:ligatures w14:val="standardContextual"/>
        </w:rPr>
        <w:t>«Организация транспортного обслуживания населения Тихвинского района»</w:t>
      </w:r>
    </w:p>
    <w:p w14:paraId="56CB93CE" w14:textId="77777777" w:rsidR="00511245" w:rsidRPr="005D32BE" w:rsidRDefault="00511245" w:rsidP="00511245">
      <w:pPr>
        <w:spacing w:line="259" w:lineRule="auto"/>
        <w:jc w:val="center"/>
        <w:rPr>
          <w:rFonts w:eastAsiaTheme="minorHAnsi"/>
          <w:kern w:val="2"/>
          <w:szCs w:val="28"/>
          <w:lang w:eastAsia="en-US"/>
          <w14:ligatures w14:val="standardContextual"/>
        </w:rPr>
      </w:pPr>
    </w:p>
    <w:p w14:paraId="5AF23301" w14:textId="77777777" w:rsidR="00511245" w:rsidRPr="005D32BE" w:rsidRDefault="00511245" w:rsidP="00511245">
      <w:pPr>
        <w:spacing w:line="259" w:lineRule="auto"/>
        <w:jc w:val="center"/>
        <w:rPr>
          <w:rFonts w:eastAsiaTheme="minorHAnsi"/>
          <w:b/>
          <w:bCs/>
          <w:kern w:val="2"/>
          <w:szCs w:val="28"/>
          <w:lang w:eastAsia="en-US"/>
          <w14:ligatures w14:val="standardContextual"/>
        </w:rPr>
      </w:pPr>
      <w:r w:rsidRPr="005D32BE">
        <w:rPr>
          <w:rFonts w:eastAsiaTheme="minorHAnsi"/>
          <w:b/>
          <w:bCs/>
          <w:kern w:val="2"/>
          <w:szCs w:val="28"/>
          <w:lang w:eastAsia="en-US"/>
          <w14:ligatures w14:val="standardContextual"/>
        </w:rPr>
        <w:t>ПАСПОРТ</w:t>
      </w:r>
    </w:p>
    <w:p w14:paraId="189BA028" w14:textId="77777777" w:rsidR="00511245" w:rsidRPr="005D32BE" w:rsidRDefault="00511245" w:rsidP="00511245">
      <w:pPr>
        <w:spacing w:line="259" w:lineRule="auto"/>
        <w:jc w:val="center"/>
        <w:rPr>
          <w:rFonts w:eastAsiaTheme="minorHAnsi"/>
          <w:b/>
          <w:bCs/>
          <w:kern w:val="2"/>
          <w:szCs w:val="28"/>
          <w:lang w:eastAsia="en-US"/>
          <w14:ligatures w14:val="standardContextual"/>
        </w:rPr>
      </w:pPr>
      <w:r w:rsidRPr="005D32BE">
        <w:rPr>
          <w:rFonts w:eastAsiaTheme="minorHAnsi"/>
          <w:b/>
          <w:bCs/>
          <w:kern w:val="2"/>
          <w:szCs w:val="28"/>
          <w:lang w:eastAsia="en-US"/>
          <w14:ligatures w14:val="standardContextual"/>
        </w:rPr>
        <w:t>муниципальной программы Тихвинского района</w:t>
      </w:r>
    </w:p>
    <w:p w14:paraId="255BDC80" w14:textId="77777777" w:rsidR="00511245" w:rsidRPr="005D32BE" w:rsidRDefault="00511245" w:rsidP="00511245">
      <w:pPr>
        <w:spacing w:line="259" w:lineRule="auto"/>
        <w:jc w:val="center"/>
        <w:rPr>
          <w:rFonts w:eastAsiaTheme="minorHAnsi"/>
          <w:b/>
          <w:bCs/>
          <w:kern w:val="2"/>
          <w:szCs w:val="28"/>
          <w:lang w:eastAsia="en-US"/>
          <w14:ligatures w14:val="standardContextual"/>
        </w:rPr>
      </w:pPr>
      <w:r w:rsidRPr="005D32BE">
        <w:rPr>
          <w:rFonts w:eastAsiaTheme="minorHAnsi"/>
          <w:b/>
          <w:bCs/>
          <w:kern w:val="2"/>
          <w:szCs w:val="28"/>
          <w:lang w:eastAsia="en-US"/>
          <w14:ligatures w14:val="standardContextual"/>
        </w:rPr>
        <w:t>«Организация транспортного обслуживания населения Тихвинского района»</w:t>
      </w:r>
    </w:p>
    <w:p w14:paraId="2CFD6A70" w14:textId="77777777" w:rsidR="00045F8C" w:rsidRPr="005D32BE" w:rsidRDefault="00045F8C" w:rsidP="00511245">
      <w:pPr>
        <w:spacing w:line="259" w:lineRule="auto"/>
        <w:jc w:val="center"/>
        <w:rPr>
          <w:rFonts w:eastAsiaTheme="minorHAnsi"/>
          <w:b/>
          <w:bCs/>
          <w:kern w:val="2"/>
          <w:szCs w:val="28"/>
          <w:lang w:eastAsia="en-US"/>
          <w14:ligatures w14:val="standardContextual"/>
        </w:rPr>
      </w:pPr>
    </w:p>
    <w:tbl>
      <w:tblPr>
        <w:tblW w:w="9995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5"/>
        <w:gridCol w:w="6170"/>
      </w:tblGrid>
      <w:tr w:rsidR="00511245" w:rsidRPr="005D32BE" w14:paraId="22FF57FE" w14:textId="77777777" w:rsidTr="00D35EE9">
        <w:trPr>
          <w:trHeight w:val="480"/>
          <w:jc w:val="center"/>
        </w:trPr>
        <w:tc>
          <w:tcPr>
            <w:tcW w:w="382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F7D322" w14:textId="52B7091C" w:rsidR="00511245" w:rsidRPr="005D32BE" w:rsidRDefault="00511245" w:rsidP="00511245">
            <w:pPr>
              <w:autoSpaceDE w:val="0"/>
              <w:autoSpaceDN w:val="0"/>
              <w:adjustRightInd w:val="0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14:ligatures w14:val="standardContextual"/>
              </w:rPr>
              <w:t xml:space="preserve">Сроки реализации </w:t>
            </w:r>
            <w:r w:rsidR="0057068E" w:rsidRPr="005D32BE">
              <w:rPr>
                <w:rFonts w:eastAsiaTheme="minorHAnsi"/>
                <w:color w:val="000000"/>
                <w:kern w:val="2"/>
                <w:sz w:val="24"/>
                <w:szCs w:val="24"/>
                <w14:ligatures w14:val="standardContextual"/>
              </w:rPr>
              <w:t>м</w:t>
            </w: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14:ligatures w14:val="standardContextual"/>
              </w:rPr>
              <w:t>униципальной программы</w:t>
            </w:r>
          </w:p>
        </w:tc>
        <w:tc>
          <w:tcPr>
            <w:tcW w:w="61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6BC207" w14:textId="56B047D4" w:rsidR="00511245" w:rsidRPr="005D32BE" w:rsidRDefault="00511245" w:rsidP="00511245">
            <w:pPr>
              <w:spacing w:line="259" w:lineRule="auto"/>
              <w:jc w:val="center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14:ligatures w14:val="standardContextual"/>
              </w:rPr>
              <w:t>202</w:t>
            </w: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4</w:t>
            </w: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14:ligatures w14:val="standardContextual"/>
              </w:rPr>
              <w:t>-202</w:t>
            </w: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val="en-US"/>
                <w14:ligatures w14:val="standardContextual"/>
              </w:rPr>
              <w:t>6</w:t>
            </w: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14:ligatures w14:val="standardContextual"/>
              </w:rPr>
              <w:t xml:space="preserve"> годы</w:t>
            </w:r>
          </w:p>
        </w:tc>
      </w:tr>
      <w:tr w:rsidR="00511245" w:rsidRPr="005D32BE" w14:paraId="1FD996CF" w14:textId="77777777" w:rsidTr="00D35EE9">
        <w:trPr>
          <w:trHeight w:val="684"/>
          <w:jc w:val="center"/>
        </w:trPr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8DF6FC2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Ответственный исполнитель муниципальной программы</w:t>
            </w:r>
          </w:p>
        </w:tc>
        <w:tc>
          <w:tcPr>
            <w:tcW w:w="617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CF4010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Комитет жилищно-коммунального хозяйства администрации Тихвинского района</w:t>
            </w:r>
          </w:p>
        </w:tc>
      </w:tr>
      <w:tr w:rsidR="00511245" w:rsidRPr="005D32BE" w14:paraId="66E900AA" w14:textId="77777777" w:rsidTr="00D35EE9">
        <w:trPr>
          <w:trHeight w:val="230"/>
          <w:jc w:val="center"/>
        </w:trPr>
        <w:tc>
          <w:tcPr>
            <w:tcW w:w="38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97B3360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Соисполнители программы</w:t>
            </w:r>
          </w:p>
        </w:tc>
        <w:tc>
          <w:tcPr>
            <w:tcW w:w="61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6EE237" w14:textId="6433A510" w:rsidR="00511245" w:rsidRPr="005D32BE" w:rsidRDefault="00045F8C" w:rsidP="00511245">
            <w:pPr>
              <w:spacing w:line="259" w:lineRule="auto"/>
              <w:jc w:val="center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нет</w:t>
            </w:r>
          </w:p>
        </w:tc>
      </w:tr>
      <w:tr w:rsidR="00511245" w:rsidRPr="005D32BE" w14:paraId="7C2FBFAF" w14:textId="77777777" w:rsidTr="00D35EE9">
        <w:trPr>
          <w:trHeight w:val="480"/>
          <w:jc w:val="center"/>
        </w:trPr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3CB6BCD" w14:textId="77777777" w:rsidR="00511245" w:rsidRPr="005D32BE" w:rsidRDefault="00511245" w:rsidP="00511245">
            <w:pPr>
              <w:spacing w:line="259" w:lineRule="auto"/>
              <w:jc w:val="center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Участники муниципальной программы</w:t>
            </w:r>
          </w:p>
        </w:tc>
        <w:tc>
          <w:tcPr>
            <w:tcW w:w="6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F35C7A" w14:textId="77777777" w:rsidR="00511245" w:rsidRPr="005D32BE" w:rsidRDefault="00511245" w:rsidP="00511245">
            <w:pPr>
              <w:spacing w:line="259" w:lineRule="auto"/>
              <w:jc w:val="center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нет</w:t>
            </w:r>
          </w:p>
        </w:tc>
      </w:tr>
      <w:tr w:rsidR="00511245" w:rsidRPr="005D32BE" w14:paraId="0604004E" w14:textId="77777777" w:rsidTr="00D35EE9">
        <w:trPr>
          <w:trHeight w:val="480"/>
          <w:jc w:val="center"/>
        </w:trPr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ED99715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Подпрограммы муниципальной программы</w:t>
            </w:r>
          </w:p>
        </w:tc>
        <w:tc>
          <w:tcPr>
            <w:tcW w:w="6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85D9DF" w14:textId="77777777" w:rsidR="00511245" w:rsidRPr="005D32BE" w:rsidRDefault="00511245" w:rsidP="00511245">
            <w:pPr>
              <w:spacing w:line="259" w:lineRule="auto"/>
              <w:jc w:val="center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нет</w:t>
            </w:r>
          </w:p>
        </w:tc>
      </w:tr>
      <w:tr w:rsidR="00511245" w:rsidRPr="005D32BE" w14:paraId="4A7B37B7" w14:textId="77777777" w:rsidTr="00D35EE9">
        <w:trPr>
          <w:trHeight w:val="480"/>
          <w:jc w:val="center"/>
        </w:trPr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8C5DF7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Проекты, реализуемые в рамках муниципальной программы</w:t>
            </w:r>
          </w:p>
        </w:tc>
        <w:tc>
          <w:tcPr>
            <w:tcW w:w="6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FDBE52" w14:textId="77777777" w:rsidR="00511245" w:rsidRPr="005D32BE" w:rsidRDefault="00511245" w:rsidP="00511245">
            <w:pPr>
              <w:spacing w:line="259" w:lineRule="auto"/>
              <w:jc w:val="center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нет</w:t>
            </w:r>
          </w:p>
        </w:tc>
      </w:tr>
      <w:tr w:rsidR="00511245" w:rsidRPr="005D32BE" w14:paraId="3AD36BBB" w14:textId="77777777" w:rsidTr="00D35EE9">
        <w:trPr>
          <w:trHeight w:val="480"/>
          <w:jc w:val="center"/>
        </w:trPr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153ED8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Цели муниципальной программы</w:t>
            </w:r>
          </w:p>
          <w:p w14:paraId="6E18DCBA" w14:textId="77777777" w:rsidR="00511245" w:rsidRPr="005D32BE" w:rsidRDefault="00511245" w:rsidP="00511245">
            <w:pPr>
              <w:spacing w:line="259" w:lineRule="auto"/>
              <w:jc w:val="center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D8B9F0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Основными целями муниципальной программы являются:</w:t>
            </w:r>
          </w:p>
          <w:p w14:paraId="77621B74" w14:textId="37732EEC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- организация пассажирских перевозок пассажиров по маршрутам регулярных перевозок автомобильным транспортом по регулируемым тарифам;</w:t>
            </w:r>
          </w:p>
          <w:p w14:paraId="09C4273B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- повышение качества, доступности и безопасности транспортного обслуживания населения на муниципальных маршрутах регулярных перевозок Тихвинского района;</w:t>
            </w:r>
          </w:p>
          <w:p w14:paraId="4521C019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- контроль за выполнением перевозчиком работы, связанной с осуществлением пассажирских перевозок по регулируемому тарифу по муниципальным маршрутам в границах Тихвинского района.</w:t>
            </w:r>
          </w:p>
        </w:tc>
      </w:tr>
      <w:tr w:rsidR="00511245" w:rsidRPr="005D32BE" w14:paraId="60FE3101" w14:textId="77777777" w:rsidTr="00D35EE9">
        <w:trPr>
          <w:trHeight w:val="480"/>
          <w:jc w:val="center"/>
        </w:trPr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D8A6F2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Задачи муниципальной программы</w:t>
            </w:r>
          </w:p>
        </w:tc>
        <w:tc>
          <w:tcPr>
            <w:tcW w:w="6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96CBB" w14:textId="77777777" w:rsidR="00511245" w:rsidRPr="005D32BE" w:rsidRDefault="00511245" w:rsidP="00511245">
            <w:pPr>
              <w:spacing w:line="259" w:lineRule="auto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Основные задачи:</w:t>
            </w:r>
          </w:p>
          <w:p w14:paraId="62DA04FC" w14:textId="230715D5" w:rsidR="00511245" w:rsidRPr="005D32BE" w:rsidRDefault="00511245" w:rsidP="0057068E">
            <w:pPr>
              <w:spacing w:line="259" w:lineRule="auto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- Организация транспортного обслуживания населения </w:t>
            </w:r>
            <w:r w:rsidRPr="005D32BE">
              <w:rPr>
                <w:rFonts w:eastAsiaTheme="minorHAnsi"/>
                <w:bCs/>
                <w:i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в границах Тихвинского района и в границах Тихвинского городского поселения</w:t>
            </w: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, создание условий для предоставления качественных и доступных транспортных </w:t>
            </w: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lastRenderedPageBreak/>
              <w:t>услуг населению, сохранение социально значимых маршрутов.</w:t>
            </w:r>
          </w:p>
        </w:tc>
      </w:tr>
      <w:tr w:rsidR="00511245" w:rsidRPr="005D32BE" w14:paraId="211E201A" w14:textId="77777777" w:rsidTr="00D35EE9">
        <w:trPr>
          <w:trHeight w:val="169"/>
          <w:jc w:val="center"/>
        </w:trPr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AADE10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lastRenderedPageBreak/>
              <w:t>Финансовое обеспечение проектов, реализуемых в рамках муниципальной программы – всего, в т. ч. По годам реализации, в т.ч. проекты</w:t>
            </w:r>
          </w:p>
        </w:tc>
        <w:tc>
          <w:tcPr>
            <w:tcW w:w="6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015D877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Отсутствует </w:t>
            </w:r>
          </w:p>
        </w:tc>
      </w:tr>
      <w:tr w:rsidR="00511245" w:rsidRPr="005D32BE" w14:paraId="29098A59" w14:textId="77777777" w:rsidTr="00D35EE9">
        <w:trPr>
          <w:trHeight w:val="420"/>
          <w:jc w:val="center"/>
        </w:trPr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BC25B3E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bookmarkStart w:id="1" w:name="_Hlk98496593"/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Финансовое обеспечение муниципальной программы - всего, в том числе по годам</w:t>
            </w:r>
            <w:bookmarkEnd w:id="1"/>
          </w:p>
          <w:p w14:paraId="0A330C2E" w14:textId="77777777" w:rsidR="00511245" w:rsidRPr="005D32BE" w:rsidRDefault="00511245" w:rsidP="00511245">
            <w:pPr>
              <w:spacing w:line="259" w:lineRule="auto"/>
              <w:jc w:val="center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  <w:tc>
          <w:tcPr>
            <w:tcW w:w="6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66EC18" w14:textId="7ABF3EC1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Общий объем финансового обеспечения </w:t>
            </w:r>
            <w:r w:rsidR="0057068E" w:rsidRPr="005D32BE"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>муниципальной п</w:t>
            </w:r>
            <w:r w:rsidRPr="005D32BE"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>рограммы составляет</w:t>
            </w:r>
          </w:p>
          <w:p w14:paraId="7E7C3513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b/>
                <w:bCs/>
                <w:kern w:val="2"/>
                <w:sz w:val="24"/>
                <w:szCs w:val="24"/>
                <w:u w:val="single"/>
                <w:lang w:eastAsia="en-US"/>
                <w14:ligatures w14:val="standardContextual"/>
              </w:rPr>
              <w:t xml:space="preserve"> 73 142,8</w:t>
            </w:r>
            <w:r w:rsidRPr="005D32BE">
              <w:rPr>
                <w:rFonts w:eastAsiaTheme="minorHAnsi"/>
                <w:b/>
                <w:kern w:val="2"/>
                <w:sz w:val="24"/>
                <w:szCs w:val="24"/>
                <w:u w:val="single"/>
                <w:lang w:eastAsia="en-US"/>
                <w14:ligatures w14:val="standardContextual"/>
              </w:rPr>
              <w:t xml:space="preserve"> тыс. рублей,</w:t>
            </w:r>
            <w:r w:rsidRPr="005D32BE"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</w:p>
          <w:p w14:paraId="7E0D0A5E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>в том числе по годам:</w:t>
            </w:r>
          </w:p>
          <w:p w14:paraId="5553AAB6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>2024 год – 24378,0 тыс. рублей;</w:t>
            </w:r>
          </w:p>
          <w:p w14:paraId="05C8FDFC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>2025 год – 24380,9 тыс. рублей.</w:t>
            </w:r>
          </w:p>
          <w:p w14:paraId="0AC45550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kern w:val="2"/>
                <w:sz w:val="24"/>
                <w:szCs w:val="24"/>
                <w:lang w:eastAsia="en-US"/>
                <w14:ligatures w14:val="standardContextual"/>
              </w:rPr>
              <w:t>2026 год – 24383,9 тыс. рублей.</w:t>
            </w:r>
          </w:p>
        </w:tc>
      </w:tr>
      <w:tr w:rsidR="00511245" w:rsidRPr="005D32BE" w14:paraId="1FD25CA3" w14:textId="77777777" w:rsidTr="00D35EE9">
        <w:trPr>
          <w:trHeight w:val="769"/>
          <w:jc w:val="center"/>
        </w:trPr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D3938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Ожидаемые конечные результаты реализации муниципальной программы</w:t>
            </w:r>
          </w:p>
        </w:tc>
        <w:tc>
          <w:tcPr>
            <w:tcW w:w="61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C58FEBA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Реализация программных мероприятий позволит:</w:t>
            </w:r>
          </w:p>
          <w:p w14:paraId="4D30CFE8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5D32BE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- сохранить социально значимые автобусные маршруты;</w:t>
            </w:r>
          </w:p>
          <w:p w14:paraId="64A4C2CF" w14:textId="77777777" w:rsidR="00511245" w:rsidRPr="005D32BE" w:rsidRDefault="00511245" w:rsidP="00511245">
            <w:pPr>
              <w:spacing w:line="259" w:lineRule="auto"/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</w:tbl>
    <w:p w14:paraId="6438A018" w14:textId="77777777" w:rsidR="00511245" w:rsidRPr="005D32BE" w:rsidRDefault="00511245" w:rsidP="00511245">
      <w:pPr>
        <w:spacing w:after="160" w:line="259" w:lineRule="auto"/>
        <w:jc w:val="center"/>
        <w:rPr>
          <w:rFonts w:asciiTheme="minorHAnsi" w:eastAsiaTheme="minorHAnsi" w:hAnsiTheme="minorHAnsi" w:cstheme="minorBidi"/>
          <w:b/>
          <w:color w:val="000000"/>
          <w:kern w:val="2"/>
          <w:sz w:val="24"/>
          <w:szCs w:val="24"/>
          <w:lang w:eastAsia="en-US"/>
          <w14:ligatures w14:val="standardContextual"/>
        </w:rPr>
      </w:pPr>
    </w:p>
    <w:p w14:paraId="07871D9A" w14:textId="15B01122" w:rsidR="00511245" w:rsidRPr="005D32BE" w:rsidRDefault="00511245" w:rsidP="00EE33A5">
      <w:pPr>
        <w:spacing w:after="160" w:line="259" w:lineRule="auto"/>
        <w:jc w:val="center"/>
        <w:rPr>
          <w:rFonts w:eastAsiaTheme="minorHAnsi"/>
          <w:color w:val="000000"/>
          <w:kern w:val="2"/>
          <w:szCs w:val="28"/>
          <w:vertAlign w:val="superscript"/>
          <w:lang w:eastAsia="en-US"/>
          <w14:ligatures w14:val="standardContextual"/>
        </w:rPr>
      </w:pPr>
    </w:p>
    <w:sectPr w:rsidR="00511245" w:rsidRPr="005D32BE" w:rsidSect="00154948">
      <w:footerReference w:type="even" r:id="rId7"/>
      <w:footerReference w:type="default" r:id="rId8"/>
      <w:pgSz w:w="12240" w:h="15840"/>
      <w:pgMar w:top="1134" w:right="49" w:bottom="1134" w:left="851" w:header="720" w:footer="720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90108F" w14:textId="77777777" w:rsidR="004B771F" w:rsidRDefault="004B771F" w:rsidP="00D814EB">
      <w:r>
        <w:separator/>
      </w:r>
    </w:p>
  </w:endnote>
  <w:endnote w:type="continuationSeparator" w:id="0">
    <w:p w14:paraId="2E2E2066" w14:textId="77777777" w:rsidR="004B771F" w:rsidRDefault="004B771F" w:rsidP="00D8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875FB4" w14:textId="77777777" w:rsidR="00B64A1B" w:rsidRDefault="00911F52" w:rsidP="00430B7C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>
      <w:rPr>
        <w:rStyle w:val="ab"/>
        <w:noProof/>
      </w:rPr>
      <w:t>3</w:t>
    </w:r>
    <w:r>
      <w:rPr>
        <w:rStyle w:val="ab"/>
      </w:rPr>
      <w:fldChar w:fldCharType="end"/>
    </w:r>
  </w:p>
  <w:p w14:paraId="156F7687" w14:textId="77777777" w:rsidR="00B64A1B" w:rsidRDefault="00B64A1B" w:rsidP="00CA46A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40A26" w14:textId="77777777" w:rsidR="00B64A1B" w:rsidRDefault="00B64A1B" w:rsidP="00CA46A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78822B" w14:textId="77777777" w:rsidR="004B771F" w:rsidRDefault="004B771F" w:rsidP="00D814EB">
      <w:r>
        <w:separator/>
      </w:r>
    </w:p>
  </w:footnote>
  <w:footnote w:type="continuationSeparator" w:id="0">
    <w:p w14:paraId="3FD87433" w14:textId="77777777" w:rsidR="004B771F" w:rsidRDefault="004B771F" w:rsidP="00D814E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8D55944"/>
    <w:multiLevelType w:val="hybridMultilevel"/>
    <w:tmpl w:val="396E889A"/>
    <w:lvl w:ilvl="0" w:tplc="7F7C55E2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5F8C"/>
    <w:rsid w:val="000478EB"/>
    <w:rsid w:val="00091DEF"/>
    <w:rsid w:val="000F1A02"/>
    <w:rsid w:val="00137667"/>
    <w:rsid w:val="001464B2"/>
    <w:rsid w:val="00154948"/>
    <w:rsid w:val="001A2440"/>
    <w:rsid w:val="001B4F8D"/>
    <w:rsid w:val="001F265D"/>
    <w:rsid w:val="00214497"/>
    <w:rsid w:val="00285D0C"/>
    <w:rsid w:val="002A2B11"/>
    <w:rsid w:val="002F22EB"/>
    <w:rsid w:val="00326996"/>
    <w:rsid w:val="0043001D"/>
    <w:rsid w:val="004914DD"/>
    <w:rsid w:val="004B771F"/>
    <w:rsid w:val="00511245"/>
    <w:rsid w:val="00511A2B"/>
    <w:rsid w:val="00554BEC"/>
    <w:rsid w:val="0057068E"/>
    <w:rsid w:val="00595F6F"/>
    <w:rsid w:val="005C0140"/>
    <w:rsid w:val="005D32BE"/>
    <w:rsid w:val="006415B0"/>
    <w:rsid w:val="006463D8"/>
    <w:rsid w:val="00711921"/>
    <w:rsid w:val="007353E1"/>
    <w:rsid w:val="00796BD1"/>
    <w:rsid w:val="007A1F0F"/>
    <w:rsid w:val="00840131"/>
    <w:rsid w:val="008A3858"/>
    <w:rsid w:val="008C0168"/>
    <w:rsid w:val="00911F52"/>
    <w:rsid w:val="009840BA"/>
    <w:rsid w:val="009B2512"/>
    <w:rsid w:val="00A03876"/>
    <w:rsid w:val="00A13C7B"/>
    <w:rsid w:val="00AC5E9F"/>
    <w:rsid w:val="00AE1A2A"/>
    <w:rsid w:val="00B27095"/>
    <w:rsid w:val="00B52D22"/>
    <w:rsid w:val="00B64A1B"/>
    <w:rsid w:val="00B83D8D"/>
    <w:rsid w:val="00B95FEE"/>
    <w:rsid w:val="00BF2B0B"/>
    <w:rsid w:val="00D368DC"/>
    <w:rsid w:val="00D814EB"/>
    <w:rsid w:val="00D97342"/>
    <w:rsid w:val="00EE33A5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AD3795"/>
  <w15:chartTrackingRefBased/>
  <w15:docId w15:val="{FD608A3F-DD91-4686-BA49-48B0B86B3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rsid w:val="0051124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511245"/>
    <w:rPr>
      <w:sz w:val="28"/>
    </w:rPr>
  </w:style>
  <w:style w:type="character" w:styleId="ab">
    <w:name w:val="page number"/>
    <w:basedOn w:val="a0"/>
    <w:rsid w:val="00511245"/>
    <w:rPr>
      <w:rFonts w:cs="Times New Roman"/>
    </w:rPr>
  </w:style>
  <w:style w:type="paragraph" w:styleId="ac">
    <w:name w:val="header"/>
    <w:basedOn w:val="a"/>
    <w:link w:val="ad"/>
    <w:uiPriority w:val="99"/>
    <w:rsid w:val="00D814EB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814EB"/>
    <w:rPr>
      <w:sz w:val="28"/>
    </w:rPr>
  </w:style>
  <w:style w:type="paragraph" w:styleId="ae">
    <w:name w:val="List Paragraph"/>
    <w:basedOn w:val="a"/>
    <w:uiPriority w:val="34"/>
    <w:qFormat/>
    <w:rsid w:val="009B2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238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Мария Булавко</cp:lastModifiedBy>
  <cp:revision>4</cp:revision>
  <cp:lastPrinted>2023-10-30T09:15:00Z</cp:lastPrinted>
  <dcterms:created xsi:type="dcterms:W3CDTF">2023-11-07T09:42:00Z</dcterms:created>
  <dcterms:modified xsi:type="dcterms:W3CDTF">2023-11-07T11:57:00Z</dcterms:modified>
</cp:coreProperties>
</file>