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B7190" w:rsidRDefault="00B52D22">
      <w:pPr>
        <w:pStyle w:val="4"/>
      </w:pPr>
      <w:r w:rsidRPr="009B7190">
        <w:t>АДМИНИСТРАЦИЯ  МУНИЦИПАЛЬНОГО  ОБРАЗОВАНИЯ</w:t>
      </w:r>
    </w:p>
    <w:p w:rsidR="00B52D22" w:rsidRPr="009B7190" w:rsidRDefault="00B52D22">
      <w:pPr>
        <w:jc w:val="center"/>
        <w:rPr>
          <w:b/>
          <w:sz w:val="22"/>
        </w:rPr>
      </w:pPr>
      <w:r w:rsidRPr="009B7190">
        <w:rPr>
          <w:b/>
          <w:sz w:val="22"/>
        </w:rPr>
        <w:t xml:space="preserve">ТИХВИНСКИЙ  МУНИЦИПАЛЬНЫЙ  РАЙОН </w:t>
      </w:r>
    </w:p>
    <w:p w:rsidR="00B52D22" w:rsidRPr="009B7190" w:rsidRDefault="00B52D22">
      <w:pPr>
        <w:jc w:val="center"/>
        <w:rPr>
          <w:b/>
          <w:sz w:val="22"/>
        </w:rPr>
      </w:pPr>
      <w:r w:rsidRPr="009B7190">
        <w:rPr>
          <w:b/>
          <w:sz w:val="22"/>
        </w:rPr>
        <w:t>ЛЕНИНГРАДСКОЙ  ОБЛАСТИ</w:t>
      </w:r>
    </w:p>
    <w:p w:rsidR="00B52D22" w:rsidRPr="009B7190" w:rsidRDefault="00B52D22">
      <w:pPr>
        <w:jc w:val="center"/>
        <w:rPr>
          <w:b/>
          <w:sz w:val="22"/>
        </w:rPr>
      </w:pPr>
      <w:r w:rsidRPr="009B7190">
        <w:rPr>
          <w:b/>
          <w:sz w:val="22"/>
        </w:rPr>
        <w:t>(АДМИНИСТРАЦИЯ  ТИХВИНСКОГО  РАЙОНА)</w:t>
      </w:r>
    </w:p>
    <w:p w:rsidR="00B52D22" w:rsidRPr="009B7190" w:rsidRDefault="00B52D22">
      <w:pPr>
        <w:jc w:val="center"/>
        <w:rPr>
          <w:b/>
          <w:sz w:val="32"/>
        </w:rPr>
      </w:pPr>
    </w:p>
    <w:p w:rsidR="00B52D22" w:rsidRPr="009B7190" w:rsidRDefault="00B52D22">
      <w:pPr>
        <w:jc w:val="center"/>
        <w:rPr>
          <w:sz w:val="10"/>
        </w:rPr>
      </w:pPr>
      <w:r w:rsidRPr="009B7190">
        <w:rPr>
          <w:b/>
          <w:sz w:val="32"/>
        </w:rPr>
        <w:t>ПОСТАНОВЛЕНИЕ</w:t>
      </w:r>
    </w:p>
    <w:p w:rsidR="00B52D22" w:rsidRPr="009B7190" w:rsidRDefault="00B52D22">
      <w:pPr>
        <w:jc w:val="center"/>
        <w:rPr>
          <w:sz w:val="10"/>
        </w:rPr>
      </w:pPr>
    </w:p>
    <w:p w:rsidR="00B52D22" w:rsidRPr="009B7190" w:rsidRDefault="00B52D22">
      <w:pPr>
        <w:jc w:val="center"/>
        <w:rPr>
          <w:sz w:val="10"/>
        </w:rPr>
      </w:pPr>
    </w:p>
    <w:p w:rsidR="00B52D22" w:rsidRPr="009B7190" w:rsidRDefault="00B52D22">
      <w:pPr>
        <w:tabs>
          <w:tab w:val="left" w:pos="4962"/>
        </w:tabs>
        <w:rPr>
          <w:sz w:val="16"/>
        </w:rPr>
      </w:pPr>
    </w:p>
    <w:p w:rsidR="00B52D22" w:rsidRPr="009B719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B719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B7190" w:rsidRDefault="009B7190">
      <w:pPr>
        <w:tabs>
          <w:tab w:val="left" w:pos="567"/>
          <w:tab w:val="left" w:pos="3686"/>
        </w:tabs>
      </w:pPr>
      <w:r w:rsidRPr="009B7190">
        <w:tab/>
        <w:t>29 декабря 2022 г.</w:t>
      </w:r>
      <w:r w:rsidRPr="009B7190">
        <w:tab/>
      </w:r>
      <w:bookmarkStart w:id="0" w:name="_GoBack"/>
      <w:r w:rsidRPr="009B7190">
        <w:t>01-3129-а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D57CD" w:rsidTr="000D57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D57CD" w:rsidRDefault="000D57CD" w:rsidP="00B52D22">
            <w:pPr>
              <w:rPr>
                <w:sz w:val="24"/>
                <w:szCs w:val="24"/>
              </w:rPr>
            </w:pPr>
            <w:r w:rsidRPr="000D57CD">
              <w:rPr>
                <w:sz w:val="24"/>
                <w:szCs w:val="24"/>
              </w:rPr>
              <w:t>Об утверждении бюджетного прогноза Тихвинского городского поселения на период до 2028 года</w:t>
            </w:r>
          </w:p>
        </w:tc>
      </w:tr>
    </w:tbl>
    <w:p w:rsidR="000D57CD" w:rsidRPr="00406A39" w:rsidRDefault="000D57CD" w:rsidP="000D57CD">
      <w:pPr>
        <w:widowControl w:val="0"/>
        <w:autoSpaceDE w:val="0"/>
        <w:autoSpaceDN w:val="0"/>
        <w:jc w:val="left"/>
        <w:rPr>
          <w:sz w:val="24"/>
          <w:szCs w:val="24"/>
        </w:rPr>
      </w:pPr>
      <w:r w:rsidRPr="00406A39">
        <w:rPr>
          <w:sz w:val="24"/>
          <w:szCs w:val="24"/>
        </w:rPr>
        <w:t>21, 2700 ДО</w:t>
      </w:r>
    </w:p>
    <w:p w:rsidR="000D57CD" w:rsidRPr="000D57CD" w:rsidRDefault="000D57CD" w:rsidP="000D57CD">
      <w:pPr>
        <w:widowControl w:val="0"/>
        <w:autoSpaceDE w:val="0"/>
        <w:autoSpaceDN w:val="0"/>
        <w:jc w:val="left"/>
        <w:rPr>
          <w:sz w:val="24"/>
          <w:szCs w:val="24"/>
        </w:rPr>
      </w:pPr>
    </w:p>
    <w:p w:rsidR="000D57CD" w:rsidRPr="000D57CD" w:rsidRDefault="000D57CD" w:rsidP="000D57CD">
      <w:pPr>
        <w:widowControl w:val="0"/>
        <w:autoSpaceDE w:val="0"/>
        <w:autoSpaceDN w:val="0"/>
        <w:ind w:firstLine="720"/>
        <w:contextualSpacing/>
        <w:rPr>
          <w:szCs w:val="28"/>
        </w:rPr>
      </w:pPr>
      <w:r w:rsidRPr="000D57CD">
        <w:rPr>
          <w:szCs w:val="28"/>
        </w:rPr>
        <w:t>В соответствии с пунктом 6 статьи 170.1 Бюджетного кодекса Российской Федерации, постановлением администрации Тихвинского района от 19 июля 2022 года № 01-1592-а «Об утверждении Порядка разработки и утверждения бюджетного прогноза Тихвинского городского поселения на долгосрочный период», администрация Тихвинского района ПОСТАНОВЛЯЕТ:</w:t>
      </w:r>
    </w:p>
    <w:p w:rsidR="000D57CD" w:rsidRDefault="000D57CD" w:rsidP="000D57CD">
      <w:pPr>
        <w:widowControl w:val="0"/>
        <w:autoSpaceDE w:val="0"/>
        <w:autoSpaceDN w:val="0"/>
        <w:ind w:firstLine="720"/>
        <w:contextualSpacing/>
        <w:rPr>
          <w:szCs w:val="28"/>
        </w:rPr>
      </w:pPr>
      <w:r>
        <w:rPr>
          <w:szCs w:val="28"/>
        </w:rPr>
        <w:t xml:space="preserve">1. </w:t>
      </w:r>
      <w:r w:rsidRPr="000D57CD">
        <w:rPr>
          <w:szCs w:val="28"/>
        </w:rPr>
        <w:t>Утвердить прилагаемый бюджетный прогноз Тихвинского городского поселения на период до 2028 года.</w:t>
      </w:r>
    </w:p>
    <w:p w:rsidR="000D57CD" w:rsidRPr="000D57CD" w:rsidRDefault="000D57CD" w:rsidP="000D57CD">
      <w:pPr>
        <w:widowControl w:val="0"/>
        <w:autoSpaceDE w:val="0"/>
        <w:autoSpaceDN w:val="0"/>
        <w:ind w:firstLine="720"/>
        <w:contextualSpacing/>
        <w:rPr>
          <w:szCs w:val="28"/>
        </w:rPr>
      </w:pPr>
      <w:r>
        <w:rPr>
          <w:szCs w:val="28"/>
        </w:rPr>
        <w:t xml:space="preserve">2. </w:t>
      </w:r>
      <w:r w:rsidRPr="000D57CD">
        <w:rPr>
          <w:szCs w:val="28"/>
        </w:rPr>
        <w:t xml:space="preserve">Контроль за исполнением постановления возложить на заместителя главы администрации Тихвинского района – председателя комитета финансов. </w:t>
      </w:r>
    </w:p>
    <w:p w:rsidR="000D57CD" w:rsidRPr="000D57CD" w:rsidRDefault="000D57CD" w:rsidP="000D57CD">
      <w:pPr>
        <w:widowControl w:val="0"/>
        <w:autoSpaceDE w:val="0"/>
        <w:autoSpaceDN w:val="0"/>
        <w:ind w:firstLine="720"/>
        <w:contextualSpacing/>
        <w:rPr>
          <w:szCs w:val="28"/>
        </w:rPr>
      </w:pPr>
    </w:p>
    <w:p w:rsidR="000D57CD" w:rsidRPr="000D57CD" w:rsidRDefault="000D57CD" w:rsidP="000D57CD">
      <w:pPr>
        <w:widowControl w:val="0"/>
        <w:autoSpaceDE w:val="0"/>
        <w:autoSpaceDN w:val="0"/>
        <w:ind w:firstLine="720"/>
        <w:contextualSpacing/>
        <w:rPr>
          <w:szCs w:val="28"/>
        </w:rPr>
      </w:pPr>
    </w:p>
    <w:p w:rsidR="000D57CD" w:rsidRPr="000D57CD" w:rsidRDefault="000D57CD" w:rsidP="000D57CD">
      <w:pPr>
        <w:widowControl w:val="0"/>
        <w:autoSpaceDE w:val="0"/>
        <w:autoSpaceDN w:val="0"/>
        <w:contextualSpacing/>
        <w:rPr>
          <w:szCs w:val="28"/>
        </w:rPr>
      </w:pPr>
      <w:r w:rsidRPr="000D57CD">
        <w:rPr>
          <w:szCs w:val="28"/>
        </w:rPr>
        <w:t xml:space="preserve">Глава администрации                                                             </w:t>
      </w:r>
      <w:r>
        <w:rPr>
          <w:szCs w:val="28"/>
        </w:rPr>
        <w:t xml:space="preserve">   </w:t>
      </w:r>
      <w:r w:rsidRPr="000D57CD">
        <w:rPr>
          <w:szCs w:val="28"/>
        </w:rPr>
        <w:t xml:space="preserve">     Ю.А.</w:t>
      </w:r>
      <w:r>
        <w:rPr>
          <w:szCs w:val="28"/>
        </w:rPr>
        <w:t xml:space="preserve"> </w:t>
      </w:r>
      <w:r w:rsidRPr="000D57CD">
        <w:rPr>
          <w:szCs w:val="28"/>
        </w:rPr>
        <w:t>Наумов</w:t>
      </w:r>
    </w:p>
    <w:p w:rsidR="000D57CD" w:rsidRPr="000D57CD" w:rsidRDefault="000D57CD" w:rsidP="000D57CD">
      <w:pPr>
        <w:widowControl w:val="0"/>
        <w:autoSpaceDE w:val="0"/>
        <w:autoSpaceDN w:val="0"/>
        <w:rPr>
          <w:szCs w:val="28"/>
        </w:rPr>
      </w:pPr>
    </w:p>
    <w:p w:rsidR="000D57CD" w:rsidRPr="000D57CD" w:rsidRDefault="000D57CD" w:rsidP="000D57CD">
      <w:pPr>
        <w:widowControl w:val="0"/>
        <w:autoSpaceDE w:val="0"/>
        <w:autoSpaceDN w:val="0"/>
        <w:rPr>
          <w:szCs w:val="28"/>
        </w:rPr>
      </w:pPr>
    </w:p>
    <w:p w:rsidR="000D57CD" w:rsidRPr="000D57CD" w:rsidRDefault="000D57CD" w:rsidP="000D57CD">
      <w:pPr>
        <w:widowControl w:val="0"/>
        <w:autoSpaceDE w:val="0"/>
        <w:autoSpaceDN w:val="0"/>
        <w:rPr>
          <w:szCs w:val="28"/>
        </w:rPr>
      </w:pPr>
    </w:p>
    <w:p w:rsidR="000D57CD" w:rsidRPr="000D57CD" w:rsidRDefault="000D57CD" w:rsidP="000D57CD">
      <w:pPr>
        <w:widowControl w:val="0"/>
        <w:autoSpaceDE w:val="0"/>
        <w:autoSpaceDN w:val="0"/>
        <w:rPr>
          <w:szCs w:val="28"/>
        </w:rPr>
      </w:pPr>
    </w:p>
    <w:p w:rsidR="000D57CD" w:rsidRPr="000D57CD" w:rsidRDefault="000D57CD" w:rsidP="000D57CD">
      <w:pPr>
        <w:widowControl w:val="0"/>
        <w:autoSpaceDE w:val="0"/>
        <w:autoSpaceDN w:val="0"/>
        <w:rPr>
          <w:szCs w:val="28"/>
        </w:rPr>
      </w:pPr>
    </w:p>
    <w:p w:rsidR="000D57CD" w:rsidRPr="000D57CD" w:rsidRDefault="000D57CD" w:rsidP="000D57CD">
      <w:pPr>
        <w:widowControl w:val="0"/>
        <w:autoSpaceDE w:val="0"/>
        <w:autoSpaceDN w:val="0"/>
        <w:rPr>
          <w:szCs w:val="28"/>
        </w:rPr>
      </w:pPr>
    </w:p>
    <w:p w:rsidR="000D57CD" w:rsidRPr="000D57CD" w:rsidRDefault="000D57CD" w:rsidP="000D57CD">
      <w:pPr>
        <w:widowControl w:val="0"/>
        <w:autoSpaceDE w:val="0"/>
        <w:autoSpaceDN w:val="0"/>
        <w:rPr>
          <w:szCs w:val="28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</w:p>
    <w:p w:rsidR="000D57CD" w:rsidRP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  <w:r w:rsidRPr="000D57CD">
        <w:rPr>
          <w:sz w:val="24"/>
          <w:szCs w:val="24"/>
        </w:rPr>
        <w:t>Суворова Светлана Александровна</w:t>
      </w:r>
    </w:p>
    <w:p w:rsidR="000D57CD" w:rsidRPr="000D57CD" w:rsidRDefault="000D57CD" w:rsidP="000D57CD">
      <w:pPr>
        <w:widowControl w:val="0"/>
        <w:autoSpaceDE w:val="0"/>
        <w:autoSpaceDN w:val="0"/>
        <w:rPr>
          <w:sz w:val="24"/>
          <w:szCs w:val="24"/>
        </w:rPr>
      </w:pPr>
      <w:r w:rsidRPr="000D57CD">
        <w:rPr>
          <w:sz w:val="24"/>
          <w:szCs w:val="24"/>
        </w:rPr>
        <w:t>52150</w:t>
      </w:r>
    </w:p>
    <w:p w:rsidR="000D57CD" w:rsidRPr="000D57CD" w:rsidRDefault="000D57CD" w:rsidP="000D57CD">
      <w:pPr>
        <w:jc w:val="left"/>
        <w:rPr>
          <w:rFonts w:eastAsia="Calibri"/>
          <w:sz w:val="22"/>
          <w:szCs w:val="22"/>
          <w:lang w:eastAsia="en-US"/>
        </w:rPr>
      </w:pPr>
      <w:r w:rsidRPr="000D57CD">
        <w:rPr>
          <w:sz w:val="22"/>
          <w:szCs w:val="22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1984"/>
      </w:tblGrid>
      <w:tr w:rsidR="000D57CD" w:rsidRPr="000D57CD" w:rsidTr="000D57CD">
        <w:tc>
          <w:tcPr>
            <w:tcW w:w="6912" w:type="dxa"/>
            <w:hideMark/>
          </w:tcPr>
          <w:p w:rsidR="000D57CD" w:rsidRPr="000D57CD" w:rsidRDefault="000D57CD" w:rsidP="000D57C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D57CD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D57CD">
              <w:rPr>
                <w:rFonts w:eastAsia="Calibri"/>
                <w:sz w:val="22"/>
                <w:szCs w:val="22"/>
                <w:lang w:eastAsia="en-US"/>
              </w:rPr>
              <w:t>председатель комитета финансов</w:t>
            </w:r>
          </w:p>
        </w:tc>
        <w:tc>
          <w:tcPr>
            <w:tcW w:w="284" w:type="dxa"/>
          </w:tcPr>
          <w:p w:rsidR="000D57CD" w:rsidRPr="000D57CD" w:rsidRDefault="000D57CD" w:rsidP="000D57C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0D57CD" w:rsidRPr="000D57CD" w:rsidRDefault="000D57CD" w:rsidP="000D57C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0D57CD" w:rsidRPr="000D57CD" w:rsidTr="000D57CD">
        <w:tc>
          <w:tcPr>
            <w:tcW w:w="6912" w:type="dxa"/>
            <w:hideMark/>
          </w:tcPr>
          <w:p w:rsidR="000D57CD" w:rsidRPr="000D57CD" w:rsidRDefault="000D57CD" w:rsidP="000D57C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0D57CD" w:rsidRPr="000D57CD" w:rsidRDefault="000D57CD" w:rsidP="000D57C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0D57CD" w:rsidRPr="000D57CD" w:rsidRDefault="000D57CD" w:rsidP="000D57C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Максимов В.В.</w:t>
            </w:r>
          </w:p>
        </w:tc>
      </w:tr>
      <w:tr w:rsidR="000D57CD" w:rsidRPr="000D57CD" w:rsidTr="000D57CD">
        <w:tc>
          <w:tcPr>
            <w:tcW w:w="6912" w:type="dxa"/>
            <w:hideMark/>
          </w:tcPr>
          <w:p w:rsidR="000D57CD" w:rsidRPr="000D57CD" w:rsidRDefault="000D57CD" w:rsidP="000D57C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284" w:type="dxa"/>
          </w:tcPr>
          <w:p w:rsidR="000D57CD" w:rsidRPr="000D57CD" w:rsidRDefault="000D57CD" w:rsidP="000D57C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0D57CD" w:rsidRPr="000D57CD" w:rsidRDefault="000D57CD" w:rsidP="000D57C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:rsidR="000D57CD" w:rsidRPr="000D57CD" w:rsidRDefault="000D57CD" w:rsidP="000D57CD">
      <w:pPr>
        <w:jc w:val="left"/>
        <w:rPr>
          <w:rFonts w:eastAsia="Calibri"/>
          <w:b/>
          <w:sz w:val="22"/>
          <w:szCs w:val="24"/>
          <w:lang w:eastAsia="en-US"/>
        </w:rPr>
      </w:pPr>
    </w:p>
    <w:p w:rsidR="000D57CD" w:rsidRPr="000D57CD" w:rsidRDefault="000D57CD" w:rsidP="000D57CD">
      <w:pPr>
        <w:jc w:val="left"/>
        <w:rPr>
          <w:rFonts w:eastAsia="Calibri"/>
          <w:b/>
          <w:sz w:val="22"/>
          <w:szCs w:val="24"/>
          <w:lang w:eastAsia="en-US"/>
        </w:rPr>
      </w:pPr>
    </w:p>
    <w:p w:rsidR="000D57CD" w:rsidRDefault="000D57CD" w:rsidP="000D57CD">
      <w:pPr>
        <w:rPr>
          <w:rFonts w:eastAsia="Calibri"/>
          <w:sz w:val="22"/>
          <w:szCs w:val="22"/>
          <w:lang w:eastAsia="en-US"/>
        </w:rPr>
      </w:pPr>
      <w:r w:rsidRPr="000D57CD">
        <w:rPr>
          <w:rFonts w:eastAsia="Calibri"/>
          <w:sz w:val="22"/>
          <w:szCs w:val="22"/>
          <w:lang w:eastAsia="en-US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D57CD" w:rsidRPr="000D57CD" w:rsidTr="000D57CD">
        <w:tc>
          <w:tcPr>
            <w:tcW w:w="4644" w:type="dxa"/>
            <w:shd w:val="clear" w:color="auto" w:fill="auto"/>
          </w:tcPr>
          <w:p w:rsidR="000D57CD" w:rsidRPr="000D57CD" w:rsidRDefault="000D57CD" w:rsidP="000D57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4644" w:type="dxa"/>
            <w:shd w:val="clear" w:color="auto" w:fill="auto"/>
          </w:tcPr>
          <w:p w:rsidR="000D57CD" w:rsidRPr="000D57CD" w:rsidRDefault="000D57CD" w:rsidP="000D57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-1 экз.</w:t>
            </w:r>
          </w:p>
        </w:tc>
      </w:tr>
      <w:tr w:rsidR="000D57CD" w:rsidRPr="000D57CD" w:rsidTr="000D57CD">
        <w:tc>
          <w:tcPr>
            <w:tcW w:w="4644" w:type="dxa"/>
            <w:shd w:val="clear" w:color="auto" w:fill="auto"/>
          </w:tcPr>
          <w:p w:rsidR="000D57CD" w:rsidRPr="000D57CD" w:rsidRDefault="000D57CD" w:rsidP="000D57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4644" w:type="dxa"/>
            <w:shd w:val="clear" w:color="auto" w:fill="auto"/>
          </w:tcPr>
          <w:p w:rsidR="000D57CD" w:rsidRPr="000D57CD" w:rsidRDefault="000D57CD" w:rsidP="000D57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-1 экз.</w:t>
            </w:r>
          </w:p>
        </w:tc>
      </w:tr>
      <w:tr w:rsidR="000D57CD" w:rsidRPr="000D57CD" w:rsidTr="000D57CD">
        <w:tc>
          <w:tcPr>
            <w:tcW w:w="4644" w:type="dxa"/>
            <w:shd w:val="clear" w:color="auto" w:fill="auto"/>
          </w:tcPr>
          <w:p w:rsidR="000D57CD" w:rsidRPr="000D57CD" w:rsidRDefault="000D57CD" w:rsidP="000D57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4644" w:type="dxa"/>
            <w:shd w:val="clear" w:color="auto" w:fill="auto"/>
          </w:tcPr>
          <w:p w:rsidR="000D57CD" w:rsidRPr="000D57CD" w:rsidRDefault="000D57CD" w:rsidP="000D57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-1 экз.</w:t>
            </w:r>
          </w:p>
        </w:tc>
      </w:tr>
      <w:tr w:rsidR="000D57CD" w:rsidRPr="000D57CD" w:rsidTr="000D57CD">
        <w:tc>
          <w:tcPr>
            <w:tcW w:w="4644" w:type="dxa"/>
            <w:shd w:val="clear" w:color="auto" w:fill="auto"/>
          </w:tcPr>
          <w:p w:rsidR="000D57CD" w:rsidRPr="000D57CD" w:rsidRDefault="000D57CD" w:rsidP="000D57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644" w:type="dxa"/>
            <w:shd w:val="clear" w:color="auto" w:fill="auto"/>
          </w:tcPr>
          <w:p w:rsidR="000D57CD" w:rsidRPr="000D57CD" w:rsidRDefault="000D57CD" w:rsidP="000D57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57C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0D57CD" w:rsidRDefault="000D57CD" w:rsidP="000D57CD">
      <w:pPr>
        <w:rPr>
          <w:sz w:val="22"/>
          <w:szCs w:val="22"/>
        </w:rPr>
        <w:sectPr w:rsidR="000D57CD" w:rsidSect="000D57C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54BEC" w:rsidRDefault="00554BEC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  <w:sectPr w:rsidR="000D57CD" w:rsidSect="000D57CD">
          <w:type w:val="continuous"/>
          <w:pgSz w:w="11907" w:h="16840"/>
          <w:pgMar w:top="851" w:right="1134" w:bottom="992" w:left="1701" w:header="720" w:footer="720" w:gutter="0"/>
          <w:cols w:space="720"/>
        </w:sect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Default="000D57CD" w:rsidP="000D57CD">
      <w:pPr>
        <w:rPr>
          <w:sz w:val="22"/>
          <w:szCs w:val="22"/>
        </w:rPr>
      </w:pPr>
    </w:p>
    <w:p w:rsidR="000D57CD" w:rsidRPr="009B7190" w:rsidRDefault="000D57CD" w:rsidP="000D57CD">
      <w:pPr>
        <w:widowControl w:val="0"/>
        <w:ind w:left="5040"/>
        <w:rPr>
          <w:sz w:val="24"/>
          <w:szCs w:val="24"/>
        </w:rPr>
      </w:pPr>
      <w:r w:rsidRPr="009B7190">
        <w:rPr>
          <w:sz w:val="24"/>
          <w:szCs w:val="24"/>
        </w:rPr>
        <w:lastRenderedPageBreak/>
        <w:t>УТВЕРЖДЕН</w:t>
      </w:r>
    </w:p>
    <w:p w:rsidR="000D57CD" w:rsidRPr="009B7190" w:rsidRDefault="000D57CD" w:rsidP="000D57CD">
      <w:pPr>
        <w:widowControl w:val="0"/>
        <w:ind w:left="5040"/>
        <w:rPr>
          <w:sz w:val="24"/>
          <w:szCs w:val="24"/>
        </w:rPr>
      </w:pPr>
      <w:r w:rsidRPr="009B7190">
        <w:rPr>
          <w:sz w:val="24"/>
          <w:szCs w:val="24"/>
        </w:rPr>
        <w:t xml:space="preserve">постановлением администрации </w:t>
      </w:r>
    </w:p>
    <w:p w:rsidR="000D57CD" w:rsidRPr="009B7190" w:rsidRDefault="000D57CD" w:rsidP="000D57CD">
      <w:pPr>
        <w:widowControl w:val="0"/>
        <w:ind w:left="5040"/>
        <w:rPr>
          <w:sz w:val="24"/>
          <w:szCs w:val="24"/>
        </w:rPr>
      </w:pPr>
      <w:r w:rsidRPr="009B7190">
        <w:rPr>
          <w:sz w:val="24"/>
          <w:szCs w:val="24"/>
        </w:rPr>
        <w:t xml:space="preserve">Тихвинского района </w:t>
      </w:r>
    </w:p>
    <w:p w:rsidR="000D57CD" w:rsidRPr="009B7190" w:rsidRDefault="000D57CD" w:rsidP="000D57CD">
      <w:pPr>
        <w:widowControl w:val="0"/>
        <w:ind w:left="5040"/>
        <w:rPr>
          <w:sz w:val="24"/>
          <w:szCs w:val="24"/>
        </w:rPr>
      </w:pPr>
      <w:r w:rsidRPr="009B7190">
        <w:rPr>
          <w:sz w:val="24"/>
          <w:szCs w:val="24"/>
        </w:rPr>
        <w:t xml:space="preserve">от </w:t>
      </w:r>
      <w:r w:rsidR="009B7190">
        <w:rPr>
          <w:sz w:val="24"/>
          <w:szCs w:val="24"/>
        </w:rPr>
        <w:t>29</w:t>
      </w:r>
      <w:r w:rsidRPr="009B7190">
        <w:rPr>
          <w:sz w:val="24"/>
          <w:szCs w:val="24"/>
        </w:rPr>
        <w:t xml:space="preserve"> декабря 2022 года № 01-</w:t>
      </w:r>
      <w:r w:rsidR="009B7190">
        <w:rPr>
          <w:sz w:val="24"/>
          <w:szCs w:val="24"/>
        </w:rPr>
        <w:t>3129</w:t>
      </w:r>
      <w:r w:rsidRPr="009B7190">
        <w:rPr>
          <w:sz w:val="24"/>
          <w:szCs w:val="24"/>
        </w:rPr>
        <w:t>-а</w:t>
      </w:r>
    </w:p>
    <w:p w:rsidR="000D57CD" w:rsidRPr="009B7190" w:rsidRDefault="000D57CD" w:rsidP="000D57CD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 w:rsidRPr="009B7190">
        <w:rPr>
          <w:sz w:val="24"/>
          <w:szCs w:val="24"/>
        </w:rPr>
        <w:t>(приложение)</w:t>
      </w:r>
    </w:p>
    <w:p w:rsidR="000D57CD" w:rsidRPr="009B7190" w:rsidRDefault="000D57CD" w:rsidP="000D57C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0D57CD" w:rsidRPr="000D57CD" w:rsidRDefault="000D57CD" w:rsidP="000D57C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D57CD">
        <w:rPr>
          <w:b/>
          <w:szCs w:val="28"/>
        </w:rPr>
        <w:t>Бюджетный прогноз Тихвинского городского поселения</w:t>
      </w:r>
    </w:p>
    <w:p w:rsidR="000D57CD" w:rsidRPr="000D57CD" w:rsidRDefault="000D57CD" w:rsidP="000D57C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D57CD">
        <w:rPr>
          <w:b/>
          <w:szCs w:val="28"/>
        </w:rPr>
        <w:t>на период 2023 - 2028 годы</w:t>
      </w:r>
    </w:p>
    <w:p w:rsidR="000D57CD" w:rsidRPr="000D57CD" w:rsidRDefault="000D57CD" w:rsidP="000D57C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D57CD" w:rsidRPr="000D57CD" w:rsidRDefault="000D57CD" w:rsidP="000D57CD">
      <w:pPr>
        <w:widowControl w:val="0"/>
        <w:numPr>
          <w:ilvl w:val="0"/>
          <w:numId w:val="2"/>
        </w:numPr>
        <w:contextualSpacing/>
        <w:jc w:val="center"/>
        <w:rPr>
          <w:b/>
          <w:szCs w:val="28"/>
        </w:rPr>
      </w:pPr>
      <w:r w:rsidRPr="000D57CD">
        <w:rPr>
          <w:b/>
          <w:szCs w:val="28"/>
        </w:rPr>
        <w:t xml:space="preserve">Условия формирования Бюджетного прогноза </w:t>
      </w:r>
    </w:p>
    <w:p w:rsidR="000D57CD" w:rsidRPr="000D57CD" w:rsidRDefault="000D57CD" w:rsidP="000D57CD">
      <w:pPr>
        <w:widowControl w:val="0"/>
        <w:ind w:left="1128"/>
        <w:contextualSpacing/>
        <w:jc w:val="center"/>
        <w:rPr>
          <w:b/>
          <w:szCs w:val="28"/>
        </w:rPr>
      </w:pPr>
      <w:r w:rsidRPr="000D57CD">
        <w:rPr>
          <w:b/>
          <w:szCs w:val="28"/>
        </w:rPr>
        <w:t>Тихвинского городского поселения на период 2023-2028 годы</w:t>
      </w:r>
    </w:p>
    <w:p w:rsidR="000D57CD" w:rsidRPr="000D57CD" w:rsidRDefault="000D57CD" w:rsidP="000D57CD">
      <w:pPr>
        <w:widowControl w:val="0"/>
        <w:ind w:left="1128"/>
        <w:contextualSpacing/>
        <w:jc w:val="left"/>
        <w:rPr>
          <w:b/>
          <w:szCs w:val="28"/>
        </w:rPr>
      </w:pP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Условия формирования Бюджетного прогноза Тихвинского городского поселения на период 2023-2028 годов (далее – Бюджетный прогноз) разработаны с учетом основных направлений бюджетной и налоговой политики Тихвинского городского поселения, на основе показателей прогноза социально-экономического развития Тихвинского городского поселения, на базе статистических данных, включая итоги социально-экономического развития Тихвинского городского поселения за 2021 год и первое полугодие 2022 года, на основании стратегических направлений развития Тихвинского района</w:t>
      </w:r>
      <w:r w:rsidRPr="000D57CD">
        <w:rPr>
          <w:iCs/>
          <w:szCs w:val="28"/>
        </w:rPr>
        <w:t>,</w:t>
      </w:r>
      <w:r w:rsidRPr="000D57CD">
        <w:rPr>
          <w:szCs w:val="28"/>
        </w:rPr>
        <w:t xml:space="preserve"> закрепленных в Стратегии социально-экономического развития Тихвинского района на период до 2030 года, утвержденной решением совета д</w:t>
      </w:r>
      <w:r w:rsidR="004E5889">
        <w:rPr>
          <w:szCs w:val="28"/>
        </w:rPr>
        <w:t xml:space="preserve">епутатов Тихвинского района от </w:t>
      </w:r>
      <w:r w:rsidRPr="000D57CD">
        <w:rPr>
          <w:szCs w:val="28"/>
        </w:rPr>
        <w:t xml:space="preserve">19 декабря 2017 года № 01-201, а также с учетом складывающихся экономических условий. 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Целью долгосрочного бюджетного планирования в Тихвинском городском поселении является обеспечение предсказуемости динамики доходов и расходов бюджета муниципального образования, что позволяет оценивать факторы, влияющие на изменение объема доходов и расходов.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При формировании Бюджетного прогноза были реализованы следующие мероприятия: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- сформулированы основные направления бюджетной и налоговой политики Тихвинского городского поселения на 2023 год и на плановый период 2024 и 2025 годов;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- определены предельные объемы расходов бюджета Тихвинского городского поселения на долгосрочный период, в том числе по муниципальным программам;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- определены приоритетные расходы бюджета Тихвинского городского поселения.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При составлении долгосрочного бюджетного прогноза поселения возникают бюджетные риски,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Бюджетного прогноза. Такими бюджетными рисками являются: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- снижение поступлений собственных доходов;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lastRenderedPageBreak/>
        <w:t>- высокая степень неопределенности объемов поступлений межбюджетных трансфертов в долгосрочном периоде в виде дотаций, субсидий и субвенций;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- 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- санкционное давление, приводящее к закрытию предприятий с участием иностранного капитала, изменением уровня спроса и предложения на производимые товары, работы и услуги, потребление которых осуществляется за пределами поселения, и, как следствие, уменьшение поступления в бюджет налога на доходы физических лиц – основного доходного источника местного бюджета;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- неформальная занятость, сопряженная с нарушениями трудовых и социальных гарантий, что негативно влияет на наполняемость бюджета поселения;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- рост уровня инфляции;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- ограничение возможности привлечения кредитных ресурсов на финансовом рынке.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 xml:space="preserve">На минимизацию бюджетных рисков и должны быть, в первую очередь, нацелены мероприятия, реализуемые в рамках долгосрочной бюджетной, налоговой и долговой политики муниципального образования. </w:t>
      </w:r>
    </w:p>
    <w:p w:rsidR="000D57CD" w:rsidRPr="000D57CD" w:rsidRDefault="000D57CD" w:rsidP="00F23270">
      <w:pPr>
        <w:widowControl w:val="0"/>
        <w:ind w:right="-6" w:firstLine="720"/>
        <w:rPr>
          <w:rFonts w:eastAsia="Calibri"/>
          <w:szCs w:val="28"/>
        </w:rPr>
      </w:pPr>
      <w:r w:rsidRPr="000D57CD">
        <w:rPr>
          <w:rFonts w:eastAsia="Calibri"/>
          <w:szCs w:val="28"/>
        </w:rPr>
        <w:t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</w:t>
      </w:r>
    </w:p>
    <w:p w:rsidR="000D57CD" w:rsidRPr="000D57CD" w:rsidRDefault="000D57CD" w:rsidP="00F23270">
      <w:pPr>
        <w:widowControl w:val="0"/>
        <w:ind w:right="-6" w:firstLine="720"/>
        <w:rPr>
          <w:rFonts w:eastAsia="Calibri"/>
          <w:szCs w:val="28"/>
        </w:rPr>
      </w:pPr>
      <w:r w:rsidRPr="000D57CD">
        <w:rPr>
          <w:rFonts w:eastAsia="Calibri"/>
          <w:szCs w:val="28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перераспределение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:rsidR="000D57CD" w:rsidRPr="000D57CD" w:rsidRDefault="000D57CD" w:rsidP="00F23270">
      <w:pPr>
        <w:widowControl w:val="0"/>
        <w:ind w:right="-6" w:firstLine="720"/>
        <w:rPr>
          <w:rFonts w:eastAsia="Calibri"/>
          <w:szCs w:val="28"/>
        </w:rPr>
      </w:pPr>
      <w:r w:rsidRPr="000D57CD">
        <w:rPr>
          <w:rFonts w:eastAsia="Calibri"/>
          <w:szCs w:val="28"/>
        </w:rPr>
        <w:t>В долгосрочном периоде необходимо обеспечить активное участие муниципального образования в федеральных национальных проектах и государственных программах Ленинградской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:rsidR="000D57CD" w:rsidRPr="000D57CD" w:rsidRDefault="000D57CD" w:rsidP="00F23270">
      <w:pPr>
        <w:widowControl w:val="0"/>
        <w:ind w:right="-6" w:firstLine="720"/>
        <w:rPr>
          <w:rFonts w:eastAsia="Calibri"/>
          <w:szCs w:val="28"/>
        </w:rPr>
      </w:pPr>
      <w:r w:rsidRPr="000D57CD">
        <w:rPr>
          <w:rFonts w:eastAsia="Calibri"/>
          <w:szCs w:val="28"/>
        </w:rPr>
        <w:t>При резком колебании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0D57CD" w:rsidRPr="000D57CD" w:rsidRDefault="000D57CD" w:rsidP="00F23270">
      <w:pPr>
        <w:widowControl w:val="0"/>
        <w:ind w:right="-6" w:firstLine="720"/>
        <w:rPr>
          <w:rFonts w:eastAsia="Calibri"/>
          <w:szCs w:val="28"/>
        </w:rPr>
      </w:pPr>
      <w:r w:rsidRPr="000D57CD">
        <w:rPr>
          <w:rFonts w:eastAsia="Calibri"/>
          <w:szCs w:val="28"/>
        </w:rPr>
        <w:t>На момент возникновения кризисных явлений уровень муниципального долга не должен стать серьезным фактором, ограничивающим воз</w:t>
      </w:r>
      <w:r w:rsidRPr="000D57CD">
        <w:rPr>
          <w:rFonts w:eastAsia="Calibri"/>
          <w:szCs w:val="28"/>
        </w:rPr>
        <w:lastRenderedPageBreak/>
        <w:t>можность осуществления дополнительных заимствований.</w:t>
      </w:r>
    </w:p>
    <w:p w:rsidR="000D57CD" w:rsidRPr="004E5889" w:rsidRDefault="000D57CD" w:rsidP="00F23270">
      <w:pPr>
        <w:widowControl w:val="0"/>
        <w:ind w:right="-6" w:firstLine="720"/>
        <w:rPr>
          <w:rFonts w:eastAsia="Calibri"/>
          <w:szCs w:val="28"/>
        </w:rPr>
      </w:pPr>
      <w:r w:rsidRPr="000D57CD">
        <w:rPr>
          <w:rFonts w:eastAsia="Calibri"/>
          <w:szCs w:val="28"/>
        </w:rPr>
        <w:t>Таким образом, налоговая, бюджетная и долговая политика поселения на долгосрочный период должны быть нацелены на достижение стратегических ориентиров социально-экономического развития муниципального образования посредством формирования сбалансированного бюджета и обеспечения его оптимальной структуры.</w:t>
      </w:r>
    </w:p>
    <w:p w:rsidR="00F23270" w:rsidRPr="000D57CD" w:rsidRDefault="00F23270" w:rsidP="000D57CD">
      <w:pPr>
        <w:widowControl w:val="0"/>
        <w:ind w:right="-6"/>
        <w:rPr>
          <w:rFonts w:eastAsia="Calibri"/>
          <w:szCs w:val="28"/>
        </w:rPr>
      </w:pPr>
    </w:p>
    <w:p w:rsidR="000D57CD" w:rsidRPr="000D57CD" w:rsidRDefault="000D57CD" w:rsidP="000D57C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0D57CD">
        <w:rPr>
          <w:b/>
          <w:szCs w:val="28"/>
        </w:rPr>
        <w:t xml:space="preserve">Прогноз основных параметров бюджета </w:t>
      </w:r>
    </w:p>
    <w:p w:rsidR="000D57CD" w:rsidRPr="000D57CD" w:rsidRDefault="000D57CD" w:rsidP="000D57CD">
      <w:pPr>
        <w:widowControl w:val="0"/>
        <w:autoSpaceDE w:val="0"/>
        <w:autoSpaceDN w:val="0"/>
        <w:adjustRightInd w:val="0"/>
        <w:ind w:left="1128"/>
        <w:contextualSpacing/>
        <w:jc w:val="center"/>
        <w:rPr>
          <w:b/>
          <w:szCs w:val="28"/>
        </w:rPr>
      </w:pPr>
      <w:r w:rsidRPr="000D57CD">
        <w:rPr>
          <w:b/>
          <w:szCs w:val="28"/>
        </w:rPr>
        <w:t>Тихвинского городского поселения</w:t>
      </w:r>
      <w:r w:rsidRPr="000D57CD">
        <w:rPr>
          <w:szCs w:val="28"/>
        </w:rPr>
        <w:t xml:space="preserve"> </w:t>
      </w:r>
      <w:r w:rsidRPr="000D57CD">
        <w:rPr>
          <w:b/>
          <w:szCs w:val="28"/>
        </w:rPr>
        <w:t>на период 2023-2028 годы</w:t>
      </w:r>
    </w:p>
    <w:p w:rsidR="000D57CD" w:rsidRPr="000D57CD" w:rsidRDefault="000D57CD" w:rsidP="000D57CD">
      <w:pPr>
        <w:widowControl w:val="0"/>
        <w:autoSpaceDE w:val="0"/>
        <w:autoSpaceDN w:val="0"/>
        <w:adjustRightInd w:val="0"/>
        <w:ind w:left="1128"/>
        <w:contextualSpacing/>
        <w:jc w:val="left"/>
        <w:rPr>
          <w:szCs w:val="28"/>
        </w:rPr>
      </w:pPr>
    </w:p>
    <w:p w:rsidR="000D57CD" w:rsidRPr="000D57CD" w:rsidRDefault="000D57CD" w:rsidP="00B462F7">
      <w:pPr>
        <w:widowControl w:val="0"/>
        <w:ind w:firstLine="720"/>
        <w:rPr>
          <w:szCs w:val="28"/>
        </w:rPr>
      </w:pPr>
      <w:r w:rsidRPr="000D57CD">
        <w:rPr>
          <w:szCs w:val="28"/>
        </w:rPr>
        <w:t>Расчеты объемов поступлений налоговых и неналоговых доходов в бюджет Тихвинского городского поселения в рамках составления Бюджетного прогноза основаны на показателях долгосрочного прогноза социально-экономического развития Тихвинского района,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:rsidR="000D57CD" w:rsidRPr="000D57CD" w:rsidRDefault="000D57CD" w:rsidP="00B462F7">
      <w:pPr>
        <w:widowControl w:val="0"/>
        <w:ind w:firstLine="720"/>
        <w:rPr>
          <w:szCs w:val="28"/>
        </w:rPr>
      </w:pPr>
      <w:r w:rsidRPr="000D57CD">
        <w:rPr>
          <w:szCs w:val="28"/>
        </w:rPr>
        <w:t>Основным доходным источником бюджета Тихвинского городского поселения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Тихвинского района, уровень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:rsidR="000D57CD" w:rsidRPr="000D57CD" w:rsidRDefault="000D57CD" w:rsidP="00B462F7">
      <w:pPr>
        <w:ind w:firstLine="720"/>
        <w:contextualSpacing/>
        <w:rPr>
          <w:szCs w:val="28"/>
        </w:rPr>
      </w:pPr>
      <w:r w:rsidRPr="000D57CD">
        <w:rPr>
          <w:szCs w:val="28"/>
        </w:rPr>
        <w:t>Вторым по значимости являются имущественные налоги: земельный налог и налог на имущество физических лиц. 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</w:t>
      </w:r>
      <w:r w:rsidR="004E5889">
        <w:rPr>
          <w:szCs w:val="28"/>
        </w:rPr>
        <w:t xml:space="preserve">ной стоимости этого имущества. </w:t>
      </w:r>
      <w:r w:rsidRPr="000D57CD">
        <w:rPr>
          <w:szCs w:val="28"/>
        </w:rPr>
        <w:t xml:space="preserve">При расчете прогнозируемых поступлений имущественных налогов учитывается ожидаемое исполнение за текущий год и данные администратора данного доходного источника – Федеральной налоговой службы. </w:t>
      </w:r>
    </w:p>
    <w:p w:rsidR="000D57CD" w:rsidRPr="000D57CD" w:rsidRDefault="000D57CD" w:rsidP="00F23270">
      <w:pPr>
        <w:ind w:firstLine="720"/>
        <w:contextualSpacing/>
        <w:rPr>
          <w:szCs w:val="28"/>
        </w:rPr>
      </w:pPr>
      <w:r w:rsidRPr="000D57CD">
        <w:rPr>
          <w:szCs w:val="28"/>
        </w:rPr>
        <w:t>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характеризующего производство нефтепродуктов, изменений бюджетного законодательства и нормативов отчислений в бюджеты. Областным законом Ленинградской области об областном бюджете Ленинградской области на очередной финансовый год и на плановый период устанавливается норматив отчислений с учетом дифференцированного норматива в бюджеты муниципальных образований акцизов на авто</w:t>
      </w:r>
      <w:r w:rsidRPr="000D57CD">
        <w:rPr>
          <w:szCs w:val="28"/>
        </w:rPr>
        <w:lastRenderedPageBreak/>
        <w:t>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0D57CD" w:rsidRPr="000D57CD" w:rsidRDefault="000D57CD" w:rsidP="00F23270">
      <w:pPr>
        <w:ind w:firstLine="720"/>
        <w:contextualSpacing/>
        <w:rPr>
          <w:szCs w:val="28"/>
        </w:rPr>
      </w:pPr>
      <w:r w:rsidRPr="000D57CD">
        <w:rPr>
          <w:szCs w:val="28"/>
        </w:rPr>
        <w:t>На основании Бюджетного кодекса Российской Федерации (глава 9, статья 61.1, п.2) единый сельскохозяйственный налог в бюджет Тихвинского городского поселения</w:t>
      </w:r>
      <w:r w:rsidR="004E5889">
        <w:rPr>
          <w:szCs w:val="28"/>
        </w:rPr>
        <w:t xml:space="preserve"> зачисляется по нормативу 50%. </w:t>
      </w:r>
      <w:r w:rsidRPr="000D57CD">
        <w:rPr>
          <w:szCs w:val="28"/>
        </w:rPr>
        <w:t xml:space="preserve">При прогнозировании данного налога учитывается ожидаемое исполнение за текущий год с применением индекса-дефлятора, характеризующего объем выпуска продукции сельского хозяйства, а также факторы, влияющие на снижение поступления данного налога, например, в случае инвестиционных вложений. 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Объемы поступлений по неналоговым доходам на долгосрочный период рассчитаны на основании данных администраторов соответствующих доходов, с применением ежегодной динамики роста, учтенной при формировании доходной части бюджета Тихвинского городского поселения на период 2023-2025 годов.</w:t>
      </w:r>
    </w:p>
    <w:p w:rsidR="000D57CD" w:rsidRPr="000D57CD" w:rsidRDefault="000D57CD" w:rsidP="00F23270">
      <w:pPr>
        <w:widowControl w:val="0"/>
        <w:ind w:firstLine="720"/>
        <w:rPr>
          <w:szCs w:val="28"/>
        </w:rPr>
      </w:pPr>
      <w:r w:rsidRPr="000D57CD">
        <w:rPr>
          <w:szCs w:val="28"/>
        </w:rPr>
        <w:t>Структура и динамика доходной части бюджета Тихвинского городского поселения за период 2023-2028 годов характеризуется следующими показателями:</w:t>
      </w:r>
    </w:p>
    <w:p w:rsidR="000D57CD" w:rsidRPr="000D57CD" w:rsidRDefault="00AE4F95" w:rsidP="000D57CD">
      <w:pPr>
        <w:widowControl w:val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9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276"/>
        <w:gridCol w:w="1559"/>
        <w:gridCol w:w="1276"/>
        <w:gridCol w:w="1418"/>
        <w:gridCol w:w="1417"/>
      </w:tblGrid>
      <w:tr w:rsidR="00B462F7" w:rsidRPr="004E5889" w:rsidTr="00B462F7">
        <w:trPr>
          <w:trHeight w:val="15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Удельный вес в общей сумме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Динамика за период 2023-2028 годы</w:t>
            </w:r>
          </w:p>
        </w:tc>
      </w:tr>
      <w:tr w:rsidR="00B462F7" w:rsidRPr="004E5889" w:rsidTr="00B462F7">
        <w:trPr>
          <w:trHeight w:val="51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left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b/>
                <w:bCs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482 133,4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b/>
                <w:bCs/>
                <w:sz w:val="22"/>
                <w:szCs w:val="22"/>
                <w:lang w:eastAsia="en-US"/>
              </w:rPr>
              <w:t>463 529,0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96,1</w:t>
            </w:r>
          </w:p>
        </w:tc>
      </w:tr>
      <w:tr w:rsidR="00B462F7" w:rsidRPr="004E5889" w:rsidTr="00B462F7">
        <w:trPr>
          <w:trHeight w:val="7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left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b/>
                <w:bCs/>
                <w:sz w:val="22"/>
                <w:szCs w:val="22"/>
                <w:lang w:eastAsia="en-US"/>
              </w:rPr>
              <w:t>1.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326 118,3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349 355,8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107,1</w:t>
            </w:r>
          </w:p>
        </w:tc>
      </w:tr>
      <w:tr w:rsidR="00B462F7" w:rsidRPr="004E5889" w:rsidTr="00B462F7">
        <w:trPr>
          <w:trHeight w:val="69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left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 xml:space="preserve">1.1. Налоговые </w:t>
            </w:r>
          </w:p>
          <w:p w:rsidR="000D57CD" w:rsidRPr="000D57CD" w:rsidRDefault="000D57CD" w:rsidP="000D57CD">
            <w:pPr>
              <w:widowControl w:val="0"/>
              <w:jc w:val="left"/>
              <w:rPr>
                <w:rFonts w:eastAsia="Batang"/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290 417,0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Cs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313 916,1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Cs/>
                <w:sz w:val="22"/>
                <w:szCs w:val="22"/>
                <w:lang w:eastAsia="en-US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Cs/>
                <w:sz w:val="22"/>
                <w:szCs w:val="22"/>
                <w:lang w:eastAsia="en-US"/>
              </w:rPr>
              <w:t>108,1</w:t>
            </w:r>
          </w:p>
        </w:tc>
      </w:tr>
      <w:tr w:rsidR="00B462F7" w:rsidRPr="004E5889" w:rsidTr="00B462F7">
        <w:trPr>
          <w:trHeight w:val="71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left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 xml:space="preserve">1.2. Неналоговые </w:t>
            </w:r>
          </w:p>
          <w:p w:rsidR="000D57CD" w:rsidRPr="000D57CD" w:rsidRDefault="000D57CD" w:rsidP="000D57CD">
            <w:pPr>
              <w:widowControl w:val="0"/>
              <w:jc w:val="left"/>
              <w:rPr>
                <w:rFonts w:eastAsia="Batang"/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35 701,3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Cs/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35 439,7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Cs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Cs/>
                <w:sz w:val="22"/>
                <w:szCs w:val="22"/>
                <w:lang w:eastAsia="en-US"/>
              </w:rPr>
              <w:t>99,3</w:t>
            </w:r>
          </w:p>
        </w:tc>
      </w:tr>
      <w:tr w:rsidR="00B462F7" w:rsidRPr="004E5889" w:rsidTr="00B462F7">
        <w:trPr>
          <w:trHeight w:val="3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left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b/>
                <w:bCs/>
                <w:sz w:val="22"/>
                <w:szCs w:val="22"/>
                <w:lang w:eastAsia="en-US"/>
              </w:rPr>
              <w:t xml:space="preserve">2. Безвозмездные поступления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156 015,1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114 173,2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rFonts w:eastAsia="Batang"/>
                <w:b/>
                <w:bCs/>
                <w:sz w:val="22"/>
                <w:szCs w:val="22"/>
                <w:lang w:eastAsia="en-US"/>
              </w:rPr>
            </w:pPr>
            <w:r w:rsidRPr="000D57CD">
              <w:rPr>
                <w:rFonts w:eastAsia="Batang"/>
                <w:b/>
                <w:bCs/>
                <w:sz w:val="22"/>
                <w:szCs w:val="22"/>
                <w:lang w:eastAsia="en-US"/>
              </w:rPr>
              <w:t>73,2</w:t>
            </w:r>
          </w:p>
        </w:tc>
      </w:tr>
    </w:tbl>
    <w:p w:rsidR="000D57CD" w:rsidRPr="000D57CD" w:rsidRDefault="000D57CD" w:rsidP="00B462F7">
      <w:pPr>
        <w:widowControl w:val="0"/>
        <w:ind w:firstLine="720"/>
        <w:rPr>
          <w:szCs w:val="28"/>
        </w:rPr>
      </w:pPr>
      <w:r w:rsidRPr="000D57CD">
        <w:rPr>
          <w:szCs w:val="28"/>
        </w:rPr>
        <w:t>Доля налоговых и неналоговых доходов в общем объеме доходов бюджета Тихвинского городского поселения увеличится с 67,6 % в 2023 году до 75,3 % в 2028 году. Прирост налоговых и неналоговых доходов за период 2023-2028 годов составит 7,1%.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Основными налоговыми доходными источниками бюджета Тихвинского городского поселения, как было уже отмечено ранее, останутся налог на доходы физических лиц, земельный налог и налог на имущество физических лиц. Удельный вес перечисленных налогов составит в общем объеме налоговых и неналоговых доходов бюджета Тихвинского городского поселения в среднем 86,1 %.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lastRenderedPageBreak/>
        <w:t>Рост поступлений по налоговым доходам за период 2023-2028 годы с учетом утвержденных макроэкономических показателей по прогнозу социально-экономического развития Тихвинского района составит 108,1 %.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В структуре неналоговых доходов бюджета Тихвинского городского поселения основной удельный вес занимают доходы, получаемые от использования муниципального имущества. Кроме этого, в бюджет Тихвинского городского поселения поступают доходы от продажи имущества и земельных участков, доходы от оказания платных услуг и компенсации затрат государства, штрафы. В связи с уменьшением объектов муниципальной собственности для сдачи в аренду или реализации, наблюдается тенденция сокращения поступлений неналоговых доходов от использования и продажи муниципального имущества.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С учетом особенностей исчисления и уплаты указанных платежей ожидается снижение роста</w:t>
      </w:r>
      <w:r w:rsidRPr="000D57CD">
        <w:rPr>
          <w:color w:val="FF0000"/>
          <w:szCs w:val="28"/>
        </w:rPr>
        <w:t xml:space="preserve"> </w:t>
      </w:r>
      <w:r w:rsidRPr="000D57CD">
        <w:rPr>
          <w:szCs w:val="28"/>
        </w:rPr>
        <w:t>поступлений по неналоговым доходам к 2028 году.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Объем безвозмездных поступлений в бюджет Тихвинского городского поселения планируется со снижением на 7,7 %.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Снижение объема безвозмездных поступлений к 2028 году приведет к общему снижению доходов бюджета Тихвинского городского поселения на 3,9%.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Структура и динамика расходной части бюджета Тихвинского городского поселения за период 2023-2028 годов характеризуется следующими показателями:</w:t>
      </w:r>
    </w:p>
    <w:p w:rsidR="000D57CD" w:rsidRPr="000D57CD" w:rsidRDefault="00AE4F95" w:rsidP="000D57CD">
      <w:pPr>
        <w:widowControl w:val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тыс. руб</w:t>
      </w:r>
      <w:r w:rsidR="000D57CD" w:rsidRPr="000D57CD">
        <w:rPr>
          <w:sz w:val="24"/>
          <w:szCs w:val="24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134"/>
        <w:gridCol w:w="1418"/>
        <w:gridCol w:w="1417"/>
      </w:tblGrid>
      <w:tr w:rsidR="00B462F7" w:rsidRPr="004E5889" w:rsidTr="00B462F7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Удельный вес в общей сумме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Динамика за период 2023-2028 годы</w:t>
            </w:r>
          </w:p>
        </w:tc>
      </w:tr>
      <w:tr w:rsidR="00B462F7" w:rsidRPr="004E5889" w:rsidTr="00B462F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left"/>
              <w:rPr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 xml:space="preserve">Расходы – всего, </w:t>
            </w:r>
            <w:r w:rsidRPr="000D57C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485 602,1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448 608,6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57CD">
              <w:rPr>
                <w:b/>
                <w:sz w:val="22"/>
                <w:szCs w:val="22"/>
                <w:lang w:eastAsia="en-US"/>
              </w:rPr>
              <w:t>92,4%</w:t>
            </w:r>
          </w:p>
        </w:tc>
      </w:tr>
      <w:tr w:rsidR="00B462F7" w:rsidRPr="004E5889" w:rsidTr="00B462F7">
        <w:trPr>
          <w:trHeight w:val="1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left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1. Расходы без учета субвенций, субсидий и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403 428,1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83%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428 497,2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91,4%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106,2%</w:t>
            </w:r>
          </w:p>
        </w:tc>
      </w:tr>
      <w:tr w:rsidR="00B462F7" w:rsidRPr="004E5889" w:rsidTr="00B462F7">
        <w:trPr>
          <w:trHeight w:val="9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left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2. Расходы за счет субвенций, субсидий и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82 174,0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16,9%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40 516,4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9,0%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CD" w:rsidRPr="000D57CD" w:rsidRDefault="000D57CD" w:rsidP="000D57C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D57CD">
              <w:rPr>
                <w:sz w:val="22"/>
                <w:szCs w:val="22"/>
                <w:lang w:eastAsia="en-US"/>
              </w:rPr>
              <w:t>49,3%</w:t>
            </w:r>
          </w:p>
        </w:tc>
      </w:tr>
    </w:tbl>
    <w:p w:rsidR="000D57CD" w:rsidRPr="000D57CD" w:rsidRDefault="000D57CD" w:rsidP="00B462F7">
      <w:pPr>
        <w:widowControl w:val="0"/>
        <w:ind w:firstLine="720"/>
        <w:rPr>
          <w:szCs w:val="28"/>
        </w:rPr>
      </w:pPr>
      <w:r w:rsidRPr="000D57CD">
        <w:rPr>
          <w:szCs w:val="28"/>
        </w:rPr>
        <w:t xml:space="preserve">В долгосрочной перспективе существенных изменений в структуре расходов бюджета Тихвинского городского поселения не ожидается: расходы без учета межбюджетных трансфертов в среднем составят 87%. 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В связи со снижением объема безвозмездных поступлений наблюдается снижение расходов бюджета Тихвинского городского поселения за период 2023-2028 годы на 7,6%. Долгосрочный прогноз бюджета Тихвинского городского поселения по расходной части рассчитан исходя из:</w:t>
      </w:r>
    </w:p>
    <w:p w:rsidR="000D57CD" w:rsidRPr="004E5889" w:rsidRDefault="00B462F7" w:rsidP="00B462F7">
      <w:pPr>
        <w:ind w:firstLine="720"/>
      </w:pPr>
      <w:r w:rsidRPr="004E5889">
        <w:t xml:space="preserve">- </w:t>
      </w:r>
      <w:r w:rsidR="000D57CD" w:rsidRPr="004E5889">
        <w:t>индекса потребительских цен;</w:t>
      </w:r>
    </w:p>
    <w:p w:rsidR="000D57CD" w:rsidRPr="004E5889" w:rsidRDefault="00B462F7" w:rsidP="00B462F7">
      <w:pPr>
        <w:ind w:firstLine="720"/>
      </w:pPr>
      <w:r w:rsidRPr="004E5889">
        <w:lastRenderedPageBreak/>
        <w:t xml:space="preserve">- </w:t>
      </w:r>
      <w:r w:rsidR="000D57CD" w:rsidRPr="004E5889">
        <w:t>сохранения расходов инвестиционного характера;</w:t>
      </w:r>
    </w:p>
    <w:p w:rsidR="000D57CD" w:rsidRPr="004E5889" w:rsidRDefault="00B462F7" w:rsidP="00B462F7">
      <w:pPr>
        <w:ind w:firstLine="720"/>
      </w:pPr>
      <w:r w:rsidRPr="004E5889">
        <w:t xml:space="preserve">- </w:t>
      </w:r>
      <w:r w:rsidR="000D57CD" w:rsidRPr="004E5889">
        <w:t>сохранения объема дорожного фонда;</w:t>
      </w:r>
    </w:p>
    <w:p w:rsidR="000D57CD" w:rsidRPr="004E5889" w:rsidRDefault="00B462F7" w:rsidP="00B462F7">
      <w:pPr>
        <w:ind w:firstLine="720"/>
      </w:pPr>
      <w:r w:rsidRPr="004E5889">
        <w:t xml:space="preserve">- </w:t>
      </w:r>
      <w:r w:rsidR="000D57CD" w:rsidRPr="004E5889">
        <w:t>уровня безвозмездных поступлений, учтенных в бюджетном прогнозе вышестоящих бюджетов.</w:t>
      </w:r>
    </w:p>
    <w:p w:rsidR="000D57CD" w:rsidRPr="000D57CD" w:rsidRDefault="000D57CD" w:rsidP="00B462F7">
      <w:pPr>
        <w:widowControl w:val="0"/>
        <w:ind w:firstLine="720"/>
        <w:rPr>
          <w:szCs w:val="28"/>
        </w:rPr>
      </w:pPr>
      <w:r w:rsidRPr="000D57CD">
        <w:rPr>
          <w:szCs w:val="28"/>
        </w:rPr>
        <w:t>В 2023 году дефицит бюджета Тихвинского городского поселения составит менее 1% от величины годового объема доходов бюджета без учета утвержденного объема безвозмездных поступлений. В последующие годы размер дефицита будет незначительно увеличиваться. Ожидается, что к 2028 году дефицит бюджета Тихвинского городского поселения будет составлять 1,3% от объема доходов бюджета (без учета утвержденного объема безвозмездных поступлений).</w:t>
      </w:r>
    </w:p>
    <w:p w:rsidR="000D57CD" w:rsidRPr="000D57CD" w:rsidRDefault="000D57CD" w:rsidP="000D57CD">
      <w:pPr>
        <w:widowControl w:val="0"/>
        <w:rPr>
          <w:szCs w:val="28"/>
        </w:rPr>
      </w:pPr>
    </w:p>
    <w:p w:rsidR="000D57CD" w:rsidRPr="000D57CD" w:rsidRDefault="000D57CD" w:rsidP="000D57C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szCs w:val="28"/>
        </w:rPr>
      </w:pPr>
      <w:r w:rsidRPr="000D57CD">
        <w:rPr>
          <w:b/>
          <w:szCs w:val="28"/>
        </w:rPr>
        <w:t xml:space="preserve">Прогноз основных характеристик бюджета </w:t>
      </w:r>
    </w:p>
    <w:p w:rsidR="000D57CD" w:rsidRPr="000D57CD" w:rsidRDefault="000D57CD" w:rsidP="000D57CD">
      <w:pPr>
        <w:widowControl w:val="0"/>
        <w:autoSpaceDE w:val="0"/>
        <w:autoSpaceDN w:val="0"/>
        <w:adjustRightInd w:val="0"/>
        <w:ind w:left="1128"/>
        <w:contextualSpacing/>
        <w:jc w:val="center"/>
        <w:rPr>
          <w:szCs w:val="28"/>
        </w:rPr>
      </w:pPr>
      <w:r w:rsidRPr="000D57CD">
        <w:rPr>
          <w:b/>
          <w:szCs w:val="28"/>
        </w:rPr>
        <w:t>Тихвинского городского поселения</w:t>
      </w:r>
    </w:p>
    <w:p w:rsidR="000D57CD" w:rsidRPr="000D57CD" w:rsidRDefault="000D57CD" w:rsidP="000D57CD">
      <w:pPr>
        <w:widowControl w:val="0"/>
        <w:autoSpaceDE w:val="0"/>
        <w:autoSpaceDN w:val="0"/>
        <w:adjustRightInd w:val="0"/>
        <w:ind w:left="1128"/>
        <w:contextualSpacing/>
        <w:jc w:val="center"/>
        <w:rPr>
          <w:b/>
          <w:szCs w:val="28"/>
        </w:rPr>
      </w:pPr>
      <w:r w:rsidRPr="000D57CD">
        <w:rPr>
          <w:b/>
          <w:szCs w:val="28"/>
        </w:rPr>
        <w:t>на период 2023-2028 годы</w:t>
      </w:r>
    </w:p>
    <w:p w:rsidR="000D57CD" w:rsidRPr="000D57CD" w:rsidRDefault="000D57CD" w:rsidP="000D57CD">
      <w:pPr>
        <w:widowControl w:val="0"/>
        <w:autoSpaceDE w:val="0"/>
        <w:autoSpaceDN w:val="0"/>
        <w:adjustRightInd w:val="0"/>
        <w:ind w:left="1128"/>
        <w:contextualSpacing/>
        <w:jc w:val="center"/>
        <w:rPr>
          <w:b/>
          <w:szCs w:val="28"/>
        </w:rPr>
      </w:pP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Исходя из показателей прогноза, доходы бюджета Тихвинского городского поселения уменьшатся к 2028 году на 18 604,4 тыс. руб. по сравнению с 2023 годом. Расходы бюджета Тихвинского городского поселения сократятся к 2028 году на 16 588,5 тыс. руб. по сравнению с 2023 годом. Дефицит бюджета увеличится с 3 468,7 тыс. руб. в 2023 году до 5 484,6 тыс. руб. в 2028 году.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Объем муниципально</w:t>
      </w:r>
      <w:r w:rsidR="00AE4F95">
        <w:rPr>
          <w:szCs w:val="28"/>
        </w:rPr>
        <w:t xml:space="preserve">го долга по состоянию на </w:t>
      </w:r>
      <w:r w:rsidRPr="000D57CD">
        <w:rPr>
          <w:szCs w:val="28"/>
        </w:rPr>
        <w:t>1 января 2029 года отсутствует, он сократится по сравнению с 1 января 2023 года на 7 500,0 тысяч рублей.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</w:p>
    <w:p w:rsidR="000D57CD" w:rsidRPr="000D57CD" w:rsidRDefault="000D57CD" w:rsidP="000D57C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0D57CD">
        <w:rPr>
          <w:b/>
          <w:szCs w:val="28"/>
        </w:rPr>
        <w:t xml:space="preserve">Показатели финансового обеспечения </w:t>
      </w:r>
    </w:p>
    <w:p w:rsidR="00B462F7" w:rsidRPr="004E5889" w:rsidRDefault="000D57CD" w:rsidP="00B462F7">
      <w:pPr>
        <w:widowControl w:val="0"/>
        <w:autoSpaceDE w:val="0"/>
        <w:autoSpaceDN w:val="0"/>
        <w:adjustRightInd w:val="0"/>
        <w:ind w:left="1128"/>
        <w:contextualSpacing/>
        <w:jc w:val="center"/>
        <w:rPr>
          <w:b/>
          <w:szCs w:val="28"/>
        </w:rPr>
      </w:pPr>
      <w:r w:rsidRPr="000D57CD">
        <w:rPr>
          <w:b/>
          <w:szCs w:val="28"/>
        </w:rPr>
        <w:t xml:space="preserve">муниципальных программ Тихвинского городского </w:t>
      </w:r>
    </w:p>
    <w:p w:rsidR="000D57CD" w:rsidRPr="000D57CD" w:rsidRDefault="000D57CD" w:rsidP="00B462F7">
      <w:pPr>
        <w:widowControl w:val="0"/>
        <w:autoSpaceDE w:val="0"/>
        <w:autoSpaceDN w:val="0"/>
        <w:adjustRightInd w:val="0"/>
        <w:ind w:left="1128"/>
        <w:contextualSpacing/>
        <w:jc w:val="center"/>
        <w:rPr>
          <w:b/>
          <w:szCs w:val="28"/>
        </w:rPr>
      </w:pPr>
      <w:r w:rsidRPr="000D57CD">
        <w:rPr>
          <w:b/>
          <w:szCs w:val="28"/>
        </w:rPr>
        <w:t>поселения</w:t>
      </w:r>
      <w:r w:rsidR="00B462F7" w:rsidRPr="004E5889">
        <w:rPr>
          <w:b/>
          <w:szCs w:val="28"/>
        </w:rPr>
        <w:t xml:space="preserve"> </w:t>
      </w:r>
      <w:r w:rsidRPr="000D57CD">
        <w:rPr>
          <w:b/>
          <w:szCs w:val="28"/>
        </w:rPr>
        <w:t>на период 2023-2028 годы</w:t>
      </w:r>
    </w:p>
    <w:p w:rsidR="000D57CD" w:rsidRPr="000D57CD" w:rsidRDefault="000D57CD" w:rsidP="000D57CD">
      <w:pPr>
        <w:widowControl w:val="0"/>
        <w:autoSpaceDE w:val="0"/>
        <w:autoSpaceDN w:val="0"/>
        <w:adjustRightInd w:val="0"/>
        <w:ind w:left="1128"/>
        <w:contextualSpacing/>
        <w:jc w:val="left"/>
        <w:rPr>
          <w:b/>
          <w:szCs w:val="28"/>
        </w:rPr>
      </w:pP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Показатели финансового обеспечения муниципальных программ Тихвинского городского поселения на период 2023-2028 годы представлены в Приложении 2 к Бюджетному прогнозу.</w:t>
      </w:r>
    </w:p>
    <w:p w:rsidR="000D57CD" w:rsidRPr="000D57CD" w:rsidRDefault="000D57CD" w:rsidP="000D57CD">
      <w:pPr>
        <w:widowControl w:val="0"/>
        <w:ind w:firstLine="709"/>
        <w:rPr>
          <w:szCs w:val="28"/>
        </w:rPr>
      </w:pPr>
      <w:r w:rsidRPr="000D57CD">
        <w:rPr>
          <w:szCs w:val="28"/>
        </w:rPr>
        <w:t>Бюджетные ассигнования на финансовое обеспечение расходов в рамках муниципальных программ Тихвинского городского поселения на 2023 год составят 449 484,6 тыс. руб. (или 92,6% от общего объема запланированных расходов), на непрограммные расходы – 36 117,5 тыс. руб. (или 7,4% от общего объема запланированных расходов).</w:t>
      </w:r>
    </w:p>
    <w:p w:rsidR="000D57CD" w:rsidRPr="004E5889" w:rsidRDefault="000D57CD" w:rsidP="00AE4F95">
      <w:pPr>
        <w:ind w:firstLine="720"/>
        <w:rPr>
          <w:szCs w:val="28"/>
        </w:rPr>
      </w:pPr>
      <w:r w:rsidRPr="004E5889">
        <w:rPr>
          <w:szCs w:val="28"/>
        </w:rPr>
        <w:t>В Тихвинском городском поселении с 2023 года будут реализовываться 14 муниципальных программ, которые утверждены постановлениями администрации Тихвинского района и имеют срок действия с 1 января 2023 года по 31 декабря 2025 года. Планируется уровень программных расходов в структуре бюджета сохранить в размере не ниже 92%.</w:t>
      </w:r>
    </w:p>
    <w:p w:rsidR="00B462F7" w:rsidRPr="004E5889" w:rsidRDefault="003B688A" w:rsidP="003B688A">
      <w:pPr>
        <w:jc w:val="center"/>
        <w:rPr>
          <w:szCs w:val="28"/>
        </w:rPr>
      </w:pPr>
      <w:r w:rsidRPr="004E5889">
        <w:rPr>
          <w:szCs w:val="28"/>
        </w:rPr>
        <w:t>_______________</w:t>
      </w:r>
    </w:p>
    <w:p w:rsidR="0046475B" w:rsidRPr="00AE4F95" w:rsidRDefault="0046475B" w:rsidP="000D57CD">
      <w:pPr>
        <w:rPr>
          <w:szCs w:val="28"/>
        </w:rPr>
      </w:pPr>
    </w:p>
    <w:p w:rsidR="00B462F7" w:rsidRPr="00B462F7" w:rsidRDefault="00B462F7" w:rsidP="00AE4F95">
      <w:pPr>
        <w:widowControl w:val="0"/>
        <w:autoSpaceDE w:val="0"/>
        <w:autoSpaceDN w:val="0"/>
        <w:ind w:left="6480"/>
        <w:jc w:val="left"/>
        <w:rPr>
          <w:sz w:val="22"/>
        </w:rPr>
      </w:pPr>
      <w:r w:rsidRPr="00B462F7">
        <w:rPr>
          <w:sz w:val="22"/>
        </w:rPr>
        <w:t>Приложение 1</w:t>
      </w:r>
    </w:p>
    <w:p w:rsidR="00B462F7" w:rsidRPr="00B462F7" w:rsidRDefault="00B462F7" w:rsidP="00AE4F95">
      <w:pPr>
        <w:widowControl w:val="0"/>
        <w:autoSpaceDE w:val="0"/>
        <w:autoSpaceDN w:val="0"/>
        <w:ind w:left="6480"/>
        <w:jc w:val="left"/>
        <w:rPr>
          <w:sz w:val="22"/>
        </w:rPr>
      </w:pPr>
      <w:r w:rsidRPr="00B462F7">
        <w:rPr>
          <w:sz w:val="22"/>
        </w:rPr>
        <w:t>к Бюджетному прогнозу</w:t>
      </w:r>
    </w:p>
    <w:p w:rsidR="00B462F7" w:rsidRPr="00B462F7" w:rsidRDefault="00B462F7" w:rsidP="00AE4F95">
      <w:pPr>
        <w:widowControl w:val="0"/>
        <w:autoSpaceDE w:val="0"/>
        <w:autoSpaceDN w:val="0"/>
        <w:ind w:left="6480"/>
        <w:jc w:val="lef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lef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center"/>
        <w:rPr>
          <w:sz w:val="22"/>
        </w:rPr>
      </w:pPr>
      <w:r w:rsidRPr="00B462F7">
        <w:rPr>
          <w:sz w:val="22"/>
        </w:rPr>
        <w:t>ПРОГНОЗ</w:t>
      </w:r>
    </w:p>
    <w:p w:rsidR="00B462F7" w:rsidRPr="00B462F7" w:rsidRDefault="00B462F7" w:rsidP="00B462F7">
      <w:pPr>
        <w:widowControl w:val="0"/>
        <w:autoSpaceDE w:val="0"/>
        <w:autoSpaceDN w:val="0"/>
        <w:jc w:val="center"/>
        <w:rPr>
          <w:sz w:val="22"/>
        </w:rPr>
      </w:pPr>
      <w:r w:rsidRPr="00B462F7">
        <w:rPr>
          <w:sz w:val="22"/>
        </w:rPr>
        <w:t>основных характеристик</w:t>
      </w:r>
    </w:p>
    <w:p w:rsidR="00B462F7" w:rsidRPr="00B462F7" w:rsidRDefault="00B462F7" w:rsidP="00B462F7">
      <w:pPr>
        <w:widowControl w:val="0"/>
        <w:autoSpaceDE w:val="0"/>
        <w:autoSpaceDN w:val="0"/>
        <w:jc w:val="center"/>
        <w:rPr>
          <w:sz w:val="22"/>
        </w:rPr>
      </w:pPr>
      <w:r w:rsidRPr="00B462F7">
        <w:rPr>
          <w:sz w:val="22"/>
        </w:rPr>
        <w:t>бюджета Тихвинского городского поселения</w:t>
      </w:r>
    </w:p>
    <w:p w:rsidR="00B462F7" w:rsidRPr="00B462F7" w:rsidRDefault="00B462F7" w:rsidP="00B462F7">
      <w:pPr>
        <w:widowControl w:val="0"/>
        <w:autoSpaceDE w:val="0"/>
        <w:autoSpaceDN w:val="0"/>
        <w:jc w:val="center"/>
        <w:rPr>
          <w:sz w:val="22"/>
        </w:rPr>
      </w:pPr>
      <w:r w:rsidRPr="00B462F7">
        <w:rPr>
          <w:sz w:val="22"/>
        </w:rPr>
        <w:t>на долгосрочный период</w:t>
      </w:r>
    </w:p>
    <w:p w:rsidR="00B462F7" w:rsidRPr="00B462F7" w:rsidRDefault="00B462F7" w:rsidP="00B462F7">
      <w:pPr>
        <w:widowControl w:val="0"/>
        <w:autoSpaceDE w:val="0"/>
        <w:autoSpaceDN w:val="0"/>
        <w:jc w:val="center"/>
        <w:rPr>
          <w:sz w:val="22"/>
        </w:rPr>
      </w:pPr>
      <w:r w:rsidRPr="00B462F7">
        <w:rPr>
          <w:sz w:val="22"/>
        </w:rPr>
        <w:t>2023-2028 годов</w:t>
      </w:r>
    </w:p>
    <w:p w:rsidR="00B462F7" w:rsidRPr="00B462F7" w:rsidRDefault="00B462F7" w:rsidP="00B462F7">
      <w:pPr>
        <w:widowControl w:val="0"/>
        <w:autoSpaceDE w:val="0"/>
        <w:autoSpaceDN w:val="0"/>
        <w:ind w:firstLine="540"/>
        <w:rPr>
          <w:sz w:val="22"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134"/>
        <w:gridCol w:w="1275"/>
        <w:gridCol w:w="1276"/>
        <w:gridCol w:w="1276"/>
      </w:tblGrid>
      <w:tr w:rsidR="00B462F7" w:rsidRPr="00B462F7" w:rsidTr="00B462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2028 год</w:t>
            </w:r>
          </w:p>
        </w:tc>
      </w:tr>
      <w:tr w:rsidR="00B462F7" w:rsidRPr="00B462F7" w:rsidTr="00B462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left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 xml:space="preserve">Доходы, всего, </w:t>
            </w:r>
          </w:p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left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482 133,4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449 280,8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449 199,5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453 898,0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458 674,1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463 529,0</w:t>
            </w:r>
          </w:p>
        </w:tc>
      </w:tr>
      <w:tr w:rsidR="00B462F7" w:rsidRPr="00B462F7" w:rsidTr="00B462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left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290 417,0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294 964,3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299 586,6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304 285,1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309 061,2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313 916,1</w:t>
            </w:r>
          </w:p>
        </w:tc>
      </w:tr>
      <w:tr w:rsidR="00B462F7" w:rsidRPr="00B462F7" w:rsidTr="00B462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left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35 701,3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35 570,5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35 439,7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35 439,7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35 439,7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35 439,7</w:t>
            </w:r>
          </w:p>
        </w:tc>
      </w:tr>
      <w:tr w:rsidR="00B462F7" w:rsidRPr="00B462F7" w:rsidTr="00B462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left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-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156 015,1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118 746,0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114 173,2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114 173,2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114 173,2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114 173,2</w:t>
            </w:r>
          </w:p>
        </w:tc>
      </w:tr>
      <w:tr w:rsidR="00B462F7" w:rsidRPr="00B462F7" w:rsidTr="00B462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left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62F7">
              <w:rPr>
                <w:bCs/>
                <w:color w:val="000000"/>
                <w:sz w:val="22"/>
                <w:szCs w:val="22"/>
              </w:rPr>
              <w:t>485 602,1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462F7">
              <w:rPr>
                <w:bCs/>
                <w:color w:val="000000"/>
                <w:sz w:val="22"/>
                <w:szCs w:val="22"/>
                <w:lang w:val="en-US"/>
              </w:rPr>
              <w:t>452 230</w:t>
            </w:r>
            <w:r w:rsidRPr="00B462F7">
              <w:rPr>
                <w:bCs/>
                <w:color w:val="000000"/>
                <w:sz w:val="22"/>
                <w:szCs w:val="22"/>
              </w:rPr>
              <w:t>,</w:t>
            </w:r>
            <w:r w:rsidRPr="00B462F7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62F7">
              <w:rPr>
                <w:bCs/>
                <w:color w:val="000000"/>
                <w:sz w:val="22"/>
                <w:szCs w:val="22"/>
              </w:rPr>
              <w:t>451 702,6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62F7">
              <w:rPr>
                <w:bCs/>
                <w:color w:val="000000"/>
                <w:sz w:val="22"/>
                <w:szCs w:val="22"/>
              </w:rPr>
              <w:t>459 038,6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62F7">
              <w:rPr>
                <w:bCs/>
                <w:color w:val="000000"/>
                <w:sz w:val="22"/>
                <w:szCs w:val="22"/>
              </w:rPr>
              <w:t>464 288,6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62F7">
              <w:rPr>
                <w:bCs/>
                <w:color w:val="000000"/>
                <w:sz w:val="22"/>
                <w:szCs w:val="22"/>
              </w:rPr>
              <w:t>469 013,6</w:t>
            </w:r>
          </w:p>
        </w:tc>
      </w:tr>
      <w:tr w:rsidR="00B462F7" w:rsidRPr="00B462F7" w:rsidTr="00B462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left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-3 468,7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-2 949,3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-2 503,1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-5 140,6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 xml:space="preserve">-5 614,5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-5 484,6</w:t>
            </w:r>
          </w:p>
        </w:tc>
      </w:tr>
      <w:tr w:rsidR="00B462F7" w:rsidRPr="00B462F7" w:rsidTr="00B462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left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7" w:rsidRPr="00B462F7" w:rsidRDefault="00B462F7" w:rsidP="00B462F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lang w:eastAsia="en-US"/>
              </w:rPr>
            </w:pPr>
            <w:r w:rsidRPr="00B462F7">
              <w:rPr>
                <w:sz w:val="22"/>
                <w:lang w:eastAsia="en-US"/>
              </w:rPr>
              <w:t>0</w:t>
            </w:r>
          </w:p>
        </w:tc>
      </w:tr>
    </w:tbl>
    <w:p w:rsidR="00B462F7" w:rsidRPr="00B462F7" w:rsidRDefault="003B688A" w:rsidP="00EA510E">
      <w:pPr>
        <w:widowControl w:val="0"/>
        <w:autoSpaceDE w:val="0"/>
        <w:autoSpaceDN w:val="0"/>
        <w:jc w:val="center"/>
        <w:rPr>
          <w:sz w:val="22"/>
        </w:rPr>
      </w:pPr>
      <w:r w:rsidRPr="00AE4F95">
        <w:rPr>
          <w:sz w:val="22"/>
        </w:rPr>
        <w:t>_______________________</w:t>
      </w: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right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left"/>
        <w:rPr>
          <w:sz w:val="22"/>
        </w:rPr>
      </w:pPr>
    </w:p>
    <w:p w:rsidR="00B462F7" w:rsidRPr="00B462F7" w:rsidRDefault="00B462F7" w:rsidP="00AE4F95">
      <w:pPr>
        <w:widowControl w:val="0"/>
        <w:autoSpaceDE w:val="0"/>
        <w:autoSpaceDN w:val="0"/>
        <w:ind w:left="6480"/>
        <w:jc w:val="left"/>
        <w:rPr>
          <w:sz w:val="22"/>
        </w:rPr>
      </w:pPr>
      <w:r w:rsidRPr="00B462F7">
        <w:rPr>
          <w:sz w:val="22"/>
        </w:rPr>
        <w:lastRenderedPageBreak/>
        <w:t>Приложение 2</w:t>
      </w:r>
    </w:p>
    <w:p w:rsidR="00B462F7" w:rsidRPr="00B462F7" w:rsidRDefault="00B462F7" w:rsidP="00AE4F95">
      <w:pPr>
        <w:widowControl w:val="0"/>
        <w:autoSpaceDE w:val="0"/>
        <w:autoSpaceDN w:val="0"/>
        <w:ind w:left="6480"/>
        <w:jc w:val="left"/>
        <w:rPr>
          <w:sz w:val="22"/>
        </w:rPr>
      </w:pPr>
      <w:r w:rsidRPr="00B462F7">
        <w:rPr>
          <w:sz w:val="22"/>
        </w:rPr>
        <w:t>к Бюджетному прогнозу</w:t>
      </w:r>
    </w:p>
    <w:p w:rsidR="00B462F7" w:rsidRPr="00B462F7" w:rsidRDefault="00B462F7" w:rsidP="00B462F7">
      <w:pPr>
        <w:widowControl w:val="0"/>
        <w:autoSpaceDE w:val="0"/>
        <w:autoSpaceDN w:val="0"/>
        <w:ind w:firstLine="540"/>
        <w:rPr>
          <w:sz w:val="22"/>
        </w:rPr>
      </w:pPr>
    </w:p>
    <w:p w:rsidR="00B462F7" w:rsidRPr="00B462F7" w:rsidRDefault="00B462F7" w:rsidP="0046475B">
      <w:pPr>
        <w:widowControl w:val="0"/>
        <w:autoSpaceDE w:val="0"/>
        <w:autoSpaceDN w:val="0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center"/>
        <w:rPr>
          <w:sz w:val="22"/>
        </w:rPr>
      </w:pPr>
      <w:bookmarkStart w:id="1" w:name="P498"/>
      <w:bookmarkEnd w:id="1"/>
      <w:r w:rsidRPr="00B462F7">
        <w:rPr>
          <w:sz w:val="22"/>
        </w:rPr>
        <w:t>ПОКАЗАТЕЛИ</w:t>
      </w:r>
    </w:p>
    <w:p w:rsidR="00B462F7" w:rsidRPr="00B462F7" w:rsidRDefault="00B462F7" w:rsidP="00B462F7">
      <w:pPr>
        <w:widowControl w:val="0"/>
        <w:autoSpaceDE w:val="0"/>
        <w:autoSpaceDN w:val="0"/>
        <w:jc w:val="center"/>
        <w:rPr>
          <w:sz w:val="22"/>
        </w:rPr>
      </w:pPr>
      <w:r w:rsidRPr="00B462F7">
        <w:rPr>
          <w:sz w:val="22"/>
        </w:rPr>
        <w:t>финансового обеспечения муниципальных программ</w:t>
      </w:r>
    </w:p>
    <w:p w:rsidR="00B462F7" w:rsidRPr="00B462F7" w:rsidRDefault="00B462F7" w:rsidP="00B462F7">
      <w:pPr>
        <w:widowControl w:val="0"/>
        <w:autoSpaceDE w:val="0"/>
        <w:autoSpaceDN w:val="0"/>
        <w:jc w:val="center"/>
        <w:rPr>
          <w:sz w:val="22"/>
        </w:rPr>
      </w:pPr>
      <w:r w:rsidRPr="00B462F7">
        <w:rPr>
          <w:sz w:val="22"/>
        </w:rPr>
        <w:t>Тихвинского городского поселения</w:t>
      </w:r>
    </w:p>
    <w:p w:rsidR="00B462F7" w:rsidRPr="00B462F7" w:rsidRDefault="00B462F7" w:rsidP="00B462F7">
      <w:pPr>
        <w:widowControl w:val="0"/>
        <w:autoSpaceDE w:val="0"/>
        <w:autoSpaceDN w:val="0"/>
        <w:jc w:val="center"/>
        <w:rPr>
          <w:sz w:val="22"/>
        </w:rPr>
      </w:pPr>
      <w:r w:rsidRPr="00B462F7">
        <w:rPr>
          <w:sz w:val="22"/>
        </w:rPr>
        <w:t>на 2023-2028 годы</w:t>
      </w:r>
    </w:p>
    <w:p w:rsidR="00B462F7" w:rsidRPr="00B462F7" w:rsidRDefault="00B462F7" w:rsidP="00B462F7">
      <w:pPr>
        <w:widowControl w:val="0"/>
        <w:autoSpaceDE w:val="0"/>
        <w:autoSpaceDN w:val="0"/>
        <w:ind w:firstLine="540"/>
        <w:rPr>
          <w:sz w:val="22"/>
        </w:rPr>
      </w:pPr>
    </w:p>
    <w:p w:rsidR="00B462F7" w:rsidRPr="00B462F7" w:rsidRDefault="00B462F7" w:rsidP="00B462F7">
      <w:pPr>
        <w:widowControl w:val="0"/>
        <w:autoSpaceDE w:val="0"/>
        <w:autoSpaceDN w:val="0"/>
        <w:jc w:val="left"/>
        <w:rPr>
          <w:sz w:val="22"/>
        </w:rPr>
      </w:pPr>
    </w:p>
    <w:tbl>
      <w:tblPr>
        <w:tblW w:w="10088" w:type="dxa"/>
        <w:tblInd w:w="-459" w:type="dxa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34"/>
        <w:gridCol w:w="1134"/>
        <w:gridCol w:w="1134"/>
        <w:gridCol w:w="1157"/>
      </w:tblGrid>
      <w:tr w:rsidR="00B462F7" w:rsidRPr="00B462F7" w:rsidTr="00EA510E">
        <w:trPr>
          <w:trHeight w:val="61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2028 год</w:t>
            </w:r>
          </w:p>
        </w:tc>
      </w:tr>
      <w:tr w:rsidR="00B462F7" w:rsidRPr="00B462F7" w:rsidTr="00EA510E">
        <w:trPr>
          <w:trHeight w:val="5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 xml:space="preserve">Расходы всего, </w:t>
            </w:r>
          </w:p>
          <w:p w:rsidR="00B462F7" w:rsidRPr="00B462F7" w:rsidRDefault="00B462F7" w:rsidP="00B462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485 602,1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442 045,1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431 142,6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5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1. Программные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449 484,6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413 019,0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409 416,2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4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92,6%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93,4%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95,0%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8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1.1. 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40 875,3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40 402,3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26 949,0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1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1.2. 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36 535,0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38 498,0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36 877,0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1.3. 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73 700,0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76 300,0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84 313,0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10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1.4. 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10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1.5. Муниципальная программа "Организация благоустройства территории населенных пунктов Тихвинского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45 487,7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44 597,7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44 597,7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13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1.6. 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5 752,4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1 475,5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1 475,5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7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1.7. Муниципальная программа "Молодежь Тихвинского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15 096,6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14 804,2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14 796,8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8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 xml:space="preserve">1.8. Муниципальная программа "Развитие сферы культуры Тихвинского городского поселения"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137 811,9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111 745,7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115 244,4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lastRenderedPageBreak/>
              <w:t>1.9. 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78 192,9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71 683,6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71 650,8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10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1.10. 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7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1.11. 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8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1.12. 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2 012,0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6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1.13. Муниципальная программа "Развитие международных связей"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67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1.14. Муниципальная программа "Безопасность Тихвинского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3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2. Непрограммные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36 117,5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29 026,1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2F7">
              <w:rPr>
                <w:b/>
                <w:bCs/>
                <w:color w:val="000000"/>
                <w:sz w:val="22"/>
                <w:szCs w:val="22"/>
              </w:rPr>
              <w:t>21 726,4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62F7" w:rsidRPr="00B462F7" w:rsidTr="00EA510E">
        <w:trPr>
          <w:trHeight w:val="4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left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  <w:r w:rsidRPr="00B462F7">
              <w:rPr>
                <w:color w:val="000000"/>
                <w:sz w:val="22"/>
                <w:szCs w:val="22"/>
              </w:rPr>
              <w:t>5,0 %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2F7" w:rsidRPr="00B462F7" w:rsidRDefault="00B462F7" w:rsidP="00B46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462F7" w:rsidRPr="00B462F7" w:rsidRDefault="00B462F7" w:rsidP="00B462F7">
      <w:pPr>
        <w:widowControl w:val="0"/>
        <w:autoSpaceDE w:val="0"/>
        <w:autoSpaceDN w:val="0"/>
        <w:jc w:val="left"/>
        <w:rPr>
          <w:sz w:val="22"/>
        </w:rPr>
      </w:pPr>
    </w:p>
    <w:p w:rsidR="00B462F7" w:rsidRPr="00B462F7" w:rsidRDefault="00B462F7" w:rsidP="00EA510E">
      <w:pPr>
        <w:widowControl w:val="0"/>
        <w:pBdr>
          <w:top w:val="single" w:sz="6" w:space="5" w:color="auto"/>
        </w:pBdr>
        <w:autoSpaceDE w:val="0"/>
        <w:autoSpaceDN w:val="0"/>
        <w:spacing w:before="100" w:after="100"/>
        <w:rPr>
          <w:sz w:val="2"/>
          <w:szCs w:val="2"/>
        </w:rPr>
      </w:pPr>
    </w:p>
    <w:p w:rsidR="00B462F7" w:rsidRPr="00B462F7" w:rsidRDefault="00B462F7" w:rsidP="00B462F7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B462F7" w:rsidRPr="00B462F7" w:rsidRDefault="00B462F7" w:rsidP="00B462F7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B462F7" w:rsidRPr="00B462F7" w:rsidRDefault="00B462F7" w:rsidP="00B462F7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B462F7" w:rsidRPr="004E5889" w:rsidRDefault="00B462F7" w:rsidP="000D57CD">
      <w:pPr>
        <w:rPr>
          <w:sz w:val="22"/>
          <w:szCs w:val="22"/>
        </w:rPr>
      </w:pPr>
    </w:p>
    <w:sectPr w:rsidR="00B462F7" w:rsidRPr="004E5889" w:rsidSect="000D57CD">
      <w:type w:val="continuous"/>
      <w:pgSz w:w="11907" w:h="16840"/>
      <w:pgMar w:top="851" w:right="1134" w:bottom="992" w:left="1701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B9" w:rsidRDefault="007F0CB9" w:rsidP="000D57CD">
      <w:r>
        <w:separator/>
      </w:r>
    </w:p>
  </w:endnote>
  <w:endnote w:type="continuationSeparator" w:id="0">
    <w:p w:rsidR="007F0CB9" w:rsidRDefault="007F0CB9" w:rsidP="000D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B9" w:rsidRDefault="007F0CB9" w:rsidP="000D57CD">
      <w:r>
        <w:separator/>
      </w:r>
    </w:p>
  </w:footnote>
  <w:footnote w:type="continuationSeparator" w:id="0">
    <w:p w:rsidR="007F0CB9" w:rsidRDefault="007F0CB9" w:rsidP="000D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CD" w:rsidRDefault="000D57C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06A39">
      <w:rPr>
        <w:noProof/>
      </w:rPr>
      <w:t>2</w:t>
    </w:r>
    <w:r>
      <w:fldChar w:fldCharType="end"/>
    </w:r>
  </w:p>
  <w:p w:rsidR="000D57CD" w:rsidRDefault="000D57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CB7404"/>
    <w:multiLevelType w:val="hybridMultilevel"/>
    <w:tmpl w:val="EC68F6C4"/>
    <w:lvl w:ilvl="0" w:tplc="5DF6289A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57CD"/>
    <w:rsid w:val="000F1A02"/>
    <w:rsid w:val="00137667"/>
    <w:rsid w:val="001464B2"/>
    <w:rsid w:val="001A2440"/>
    <w:rsid w:val="001B4F8D"/>
    <w:rsid w:val="001D45DA"/>
    <w:rsid w:val="001F265D"/>
    <w:rsid w:val="00285D0C"/>
    <w:rsid w:val="002A2B11"/>
    <w:rsid w:val="002F22EB"/>
    <w:rsid w:val="00326996"/>
    <w:rsid w:val="003B688A"/>
    <w:rsid w:val="00406A39"/>
    <w:rsid w:val="0043001D"/>
    <w:rsid w:val="0046475B"/>
    <w:rsid w:val="004914DD"/>
    <w:rsid w:val="004E5889"/>
    <w:rsid w:val="00511A2B"/>
    <w:rsid w:val="00554BEC"/>
    <w:rsid w:val="00595F6F"/>
    <w:rsid w:val="005C0140"/>
    <w:rsid w:val="005C01E9"/>
    <w:rsid w:val="006415B0"/>
    <w:rsid w:val="006463D8"/>
    <w:rsid w:val="00711921"/>
    <w:rsid w:val="00796BD1"/>
    <w:rsid w:val="007F0CB9"/>
    <w:rsid w:val="00843E5C"/>
    <w:rsid w:val="008A3858"/>
    <w:rsid w:val="009840BA"/>
    <w:rsid w:val="009B7190"/>
    <w:rsid w:val="00A03876"/>
    <w:rsid w:val="00A13C7B"/>
    <w:rsid w:val="00AE1A2A"/>
    <w:rsid w:val="00AE4F95"/>
    <w:rsid w:val="00B462F7"/>
    <w:rsid w:val="00B52D22"/>
    <w:rsid w:val="00B83D8D"/>
    <w:rsid w:val="00B95FEE"/>
    <w:rsid w:val="00BF2B0B"/>
    <w:rsid w:val="00C0705E"/>
    <w:rsid w:val="00D368DC"/>
    <w:rsid w:val="00D97342"/>
    <w:rsid w:val="00EA510E"/>
    <w:rsid w:val="00F2327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096C2-15FE-4B90-BFAB-657FB975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D5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D57CD"/>
    <w:rPr>
      <w:sz w:val="28"/>
    </w:rPr>
  </w:style>
  <w:style w:type="paragraph" w:styleId="ab">
    <w:name w:val="footer"/>
    <w:basedOn w:val="a"/>
    <w:link w:val="ac"/>
    <w:rsid w:val="000D5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D57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9</cp:revision>
  <cp:lastPrinted>2022-12-29T14:18:00Z</cp:lastPrinted>
  <dcterms:created xsi:type="dcterms:W3CDTF">2022-12-29T08:26:00Z</dcterms:created>
  <dcterms:modified xsi:type="dcterms:W3CDTF">2022-12-29T14:25:00Z</dcterms:modified>
</cp:coreProperties>
</file>