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81E4C" w14:textId="77777777" w:rsidR="00F63FB5" w:rsidRPr="00886397" w:rsidRDefault="00F63FB5" w:rsidP="0026583A">
      <w:pPr>
        <w:autoSpaceDE w:val="0"/>
        <w:autoSpaceDN w:val="0"/>
        <w:adjustRightInd w:val="0"/>
        <w:ind w:left="5040"/>
        <w:jc w:val="left"/>
        <w:rPr>
          <w:rFonts w:eastAsia="Calibri"/>
          <w:sz w:val="24"/>
          <w:szCs w:val="24"/>
          <w:lang w:eastAsia="en-US"/>
        </w:rPr>
      </w:pPr>
      <w:r w:rsidRPr="00886397">
        <w:rPr>
          <w:rFonts w:eastAsia="Calibri"/>
          <w:sz w:val="24"/>
          <w:szCs w:val="24"/>
          <w:lang w:eastAsia="en-US"/>
        </w:rPr>
        <w:t xml:space="preserve">УТВЕРЖДЕНА  </w:t>
      </w:r>
    </w:p>
    <w:p w14:paraId="533F4C35" w14:textId="77777777" w:rsidR="00F63FB5" w:rsidRPr="00886397" w:rsidRDefault="00F63FB5" w:rsidP="0026583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886397">
        <w:rPr>
          <w:rFonts w:eastAsia="Calibri"/>
          <w:sz w:val="24"/>
          <w:szCs w:val="24"/>
          <w:lang w:eastAsia="en-US"/>
        </w:rPr>
        <w:t xml:space="preserve">постановлением администрации </w:t>
      </w:r>
    </w:p>
    <w:p w14:paraId="3E5B7E2C" w14:textId="77777777" w:rsidR="00F63FB5" w:rsidRPr="00886397" w:rsidRDefault="00F63FB5" w:rsidP="0026583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886397">
        <w:rPr>
          <w:rFonts w:eastAsia="Calibri"/>
          <w:sz w:val="24"/>
          <w:szCs w:val="24"/>
          <w:lang w:eastAsia="en-US"/>
        </w:rPr>
        <w:t xml:space="preserve">Тихвинского района </w:t>
      </w:r>
    </w:p>
    <w:p w14:paraId="57042D8F" w14:textId="089E9325" w:rsidR="00F63FB5" w:rsidRPr="00886397" w:rsidRDefault="00F63FB5" w:rsidP="0026583A">
      <w:pPr>
        <w:autoSpaceDE w:val="0"/>
        <w:autoSpaceDN w:val="0"/>
        <w:adjustRightInd w:val="0"/>
        <w:ind w:left="5040"/>
        <w:jc w:val="left"/>
        <w:rPr>
          <w:rFonts w:eastAsia="Calibri"/>
          <w:bCs/>
          <w:sz w:val="24"/>
          <w:szCs w:val="24"/>
          <w:lang w:eastAsia="en-US"/>
        </w:rPr>
      </w:pPr>
      <w:r w:rsidRPr="00886397">
        <w:rPr>
          <w:rFonts w:eastAsia="Calibri"/>
          <w:bCs/>
          <w:sz w:val="24"/>
          <w:szCs w:val="24"/>
          <w:lang w:eastAsia="en-US"/>
        </w:rPr>
        <w:t xml:space="preserve">от </w:t>
      </w:r>
      <w:r w:rsidR="00886397">
        <w:rPr>
          <w:rFonts w:eastAsia="Calibri"/>
          <w:bCs/>
          <w:sz w:val="24"/>
          <w:szCs w:val="24"/>
          <w:lang w:eastAsia="en-US"/>
        </w:rPr>
        <w:t>31 октября 202</w:t>
      </w:r>
      <w:r w:rsidR="001D276C">
        <w:rPr>
          <w:rFonts w:eastAsia="Calibri"/>
          <w:bCs/>
          <w:sz w:val="24"/>
          <w:szCs w:val="24"/>
          <w:lang w:eastAsia="en-US"/>
        </w:rPr>
        <w:t>4</w:t>
      </w:r>
      <w:r w:rsidR="00886397">
        <w:rPr>
          <w:rFonts w:eastAsia="Calibri"/>
          <w:bCs/>
          <w:sz w:val="24"/>
          <w:szCs w:val="24"/>
          <w:lang w:eastAsia="en-US"/>
        </w:rPr>
        <w:t xml:space="preserve"> </w:t>
      </w:r>
      <w:r w:rsidRPr="00886397">
        <w:rPr>
          <w:rFonts w:eastAsia="Calibri"/>
          <w:bCs/>
          <w:sz w:val="24"/>
          <w:szCs w:val="24"/>
          <w:lang w:eastAsia="en-US"/>
        </w:rPr>
        <w:t>г. №</w:t>
      </w:r>
      <w:r w:rsidR="00886397">
        <w:rPr>
          <w:rFonts w:eastAsia="Calibri"/>
          <w:bCs/>
          <w:sz w:val="24"/>
          <w:szCs w:val="24"/>
          <w:lang w:eastAsia="en-US"/>
        </w:rPr>
        <w:t xml:space="preserve"> </w:t>
      </w:r>
      <w:r w:rsidR="001D276C" w:rsidRPr="001D276C">
        <w:rPr>
          <w:rFonts w:eastAsia="Calibri"/>
          <w:bCs/>
          <w:sz w:val="24"/>
          <w:szCs w:val="24"/>
          <w:lang w:eastAsia="en-US"/>
        </w:rPr>
        <w:t>01-2598-а</w:t>
      </w:r>
    </w:p>
    <w:p w14:paraId="56549D0A" w14:textId="77777777" w:rsidR="00F63FB5" w:rsidRPr="00886397" w:rsidRDefault="00F63FB5" w:rsidP="0026583A">
      <w:pPr>
        <w:ind w:left="5040"/>
        <w:jc w:val="left"/>
        <w:rPr>
          <w:rFonts w:eastAsia="Calibri"/>
          <w:sz w:val="24"/>
          <w:szCs w:val="24"/>
          <w:lang w:eastAsia="en-US"/>
        </w:rPr>
      </w:pPr>
      <w:r w:rsidRPr="00886397">
        <w:rPr>
          <w:rFonts w:eastAsia="Calibri"/>
          <w:sz w:val="24"/>
          <w:szCs w:val="24"/>
          <w:lang w:eastAsia="en-US"/>
        </w:rPr>
        <w:t>(приложение)</w:t>
      </w:r>
    </w:p>
    <w:p w14:paraId="07197D86" w14:textId="77777777" w:rsidR="00F63FB5" w:rsidRPr="00F63FB5" w:rsidRDefault="00F63FB5" w:rsidP="00F63FB5">
      <w:pPr>
        <w:rPr>
          <w:rFonts w:eastAsia="Calibri"/>
          <w:color w:val="000000"/>
          <w:sz w:val="24"/>
          <w:szCs w:val="24"/>
          <w:lang w:eastAsia="en-US"/>
        </w:rPr>
      </w:pPr>
    </w:p>
    <w:p w14:paraId="7D088567" w14:textId="77777777" w:rsidR="00F63FB5" w:rsidRPr="00F63FB5" w:rsidRDefault="00F63FB5" w:rsidP="00F63FB5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FB5">
        <w:rPr>
          <w:rFonts w:eastAsia="Calibri"/>
          <w:b/>
          <w:color w:val="000000"/>
          <w:sz w:val="24"/>
          <w:szCs w:val="24"/>
          <w:lang w:eastAsia="en-US"/>
        </w:rPr>
        <w:t>Муниципальная программа</w:t>
      </w:r>
      <w:r w:rsidRPr="00F63FB5">
        <w:rPr>
          <w:rFonts w:eastAsia="Calibri"/>
          <w:color w:val="000000"/>
          <w:sz w:val="24"/>
          <w:szCs w:val="24"/>
          <w:lang w:eastAsia="en-US"/>
        </w:rPr>
        <w:t xml:space="preserve"> «</w:t>
      </w:r>
      <w:r w:rsidRPr="00F63FB5">
        <w:rPr>
          <w:rFonts w:eastAsia="Calibri"/>
          <w:b/>
          <w:bCs/>
          <w:color w:val="000000"/>
          <w:sz w:val="24"/>
          <w:szCs w:val="24"/>
          <w:lang w:eastAsia="en-US"/>
        </w:rPr>
        <w:t>Развитие физической культуры</w:t>
      </w:r>
    </w:p>
    <w:p w14:paraId="4AF2C950" w14:textId="77777777" w:rsidR="00F63FB5" w:rsidRPr="00F63FB5" w:rsidRDefault="00F63FB5" w:rsidP="00F63FB5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FB5">
        <w:rPr>
          <w:rFonts w:eastAsia="Calibri"/>
          <w:b/>
          <w:bCs/>
          <w:color w:val="000000"/>
          <w:sz w:val="24"/>
          <w:szCs w:val="24"/>
          <w:lang w:eastAsia="en-US"/>
        </w:rPr>
        <w:t>и спорта в Тихвинском городском поселении»</w:t>
      </w:r>
    </w:p>
    <w:p w14:paraId="5F21D681" w14:textId="77777777" w:rsidR="00F63FB5" w:rsidRPr="00F63FB5" w:rsidRDefault="00F63FB5" w:rsidP="00F63FB5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p w14:paraId="302F07E7" w14:textId="77777777" w:rsidR="00F63FB5" w:rsidRPr="00F63FB5" w:rsidRDefault="00F63FB5" w:rsidP="00F63FB5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FB5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ПАСПОРТ </w:t>
      </w:r>
    </w:p>
    <w:p w14:paraId="174EF81F" w14:textId="77777777" w:rsidR="00F63FB5" w:rsidRPr="00F63FB5" w:rsidRDefault="00F63FB5" w:rsidP="00F63FB5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F63FB5">
        <w:rPr>
          <w:rFonts w:eastAsia="Calibri"/>
          <w:b/>
          <w:bCs/>
          <w:color w:val="000000"/>
          <w:sz w:val="24"/>
          <w:szCs w:val="24"/>
          <w:lang w:eastAsia="en-US"/>
        </w:rPr>
        <w:t>муниципальной программы Тихвинского городского поселения</w:t>
      </w:r>
    </w:p>
    <w:p w14:paraId="4B917083" w14:textId="77777777" w:rsidR="00F63FB5" w:rsidRPr="00F63FB5" w:rsidRDefault="00F63FB5" w:rsidP="00F63FB5">
      <w:pPr>
        <w:jc w:val="center"/>
        <w:rPr>
          <w:rFonts w:eastAsia="Calibri"/>
          <w:color w:val="000000"/>
          <w:sz w:val="24"/>
          <w:szCs w:val="24"/>
          <w:lang w:eastAsia="en-US"/>
        </w:rPr>
      </w:pPr>
      <w:r w:rsidRPr="00F63FB5">
        <w:rPr>
          <w:rFonts w:eastAsia="Calibri"/>
          <w:b/>
          <w:bCs/>
          <w:color w:val="000000"/>
          <w:sz w:val="24"/>
          <w:szCs w:val="24"/>
          <w:lang w:eastAsia="en-US"/>
        </w:rPr>
        <w:t>«Развитие физической культуры и спорта в Тихвинском городском поселении»</w:t>
      </w:r>
      <w:r w:rsidRPr="00F63FB5">
        <w:rPr>
          <w:rFonts w:eastAsia="Calibri"/>
          <w:color w:val="000000"/>
          <w:sz w:val="24"/>
          <w:szCs w:val="24"/>
          <w:lang w:eastAsia="en-US"/>
        </w:rPr>
        <w:t xml:space="preserve"> </w:t>
      </w:r>
    </w:p>
    <w:p w14:paraId="259634B9" w14:textId="77777777" w:rsidR="00F63FB5" w:rsidRPr="00F63FB5" w:rsidRDefault="00F63FB5" w:rsidP="00F63FB5">
      <w:pPr>
        <w:jc w:val="center"/>
        <w:rPr>
          <w:rFonts w:eastAsia="Calibri"/>
          <w:color w:val="000000"/>
          <w:sz w:val="24"/>
          <w:szCs w:val="24"/>
          <w:lang w:eastAsia="en-US"/>
        </w:rPr>
      </w:pPr>
    </w:p>
    <w:tbl>
      <w:tblPr>
        <w:tblW w:w="9636" w:type="dxa"/>
        <w:tblInd w:w="-3" w:type="dxa"/>
        <w:tblLayout w:type="fixed"/>
        <w:tblCellMar>
          <w:left w:w="135" w:type="dxa"/>
          <w:right w:w="135" w:type="dxa"/>
        </w:tblCellMar>
        <w:tblLook w:val="0000" w:firstRow="0" w:lastRow="0" w:firstColumn="0" w:lastColumn="0" w:noHBand="0" w:noVBand="0"/>
      </w:tblPr>
      <w:tblGrid>
        <w:gridCol w:w="3690"/>
        <w:gridCol w:w="5946"/>
      </w:tblGrid>
      <w:tr w:rsidR="001D276C" w:rsidRPr="00F406ED" w14:paraId="33BFEF27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022201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Сроки реализации муниципальной программы 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FDF4751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2025 - 2027 годы </w:t>
            </w:r>
          </w:p>
        </w:tc>
      </w:tr>
      <w:tr w:rsidR="001D276C" w:rsidRPr="00F406ED" w14:paraId="79B0B1F1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5468767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DC56B42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Комитет по культуре, спорту и молодежной политике администрации Тихвинского района (далее -  Комитет КСМ) </w:t>
            </w:r>
          </w:p>
        </w:tc>
      </w:tr>
      <w:tr w:rsidR="001D276C" w:rsidRPr="00F406ED" w14:paraId="5F76ECDC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AA76B22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Соисполнители муниципальной программы 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C59F23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Нет </w:t>
            </w:r>
          </w:p>
        </w:tc>
      </w:tr>
      <w:tr w:rsidR="001D276C" w:rsidRPr="00F406ED" w14:paraId="246BDEDB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9AA62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Участники муниципальной программы</w:t>
            </w:r>
          </w:p>
          <w:p w14:paraId="20BA521D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6ECD437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«Тихвинский городской футбольный клуб «Кировец» (далее - МУ «ТГФК «Кировец»);</w:t>
            </w:r>
          </w:p>
          <w:p w14:paraId="669605DD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Муниципальное учреждение «Молодежно-спортивный центр» (далее - МУ «МСЦ»)</w:t>
            </w:r>
          </w:p>
        </w:tc>
      </w:tr>
      <w:tr w:rsidR="001D276C" w:rsidRPr="00F406ED" w14:paraId="433C0407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9513CCB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Цели муниципальной программы 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C960B4B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Обеспечение условий для развития на территории Тихвинского городского поселения физической культуры и массового спорта</w:t>
            </w:r>
          </w:p>
        </w:tc>
      </w:tr>
      <w:tr w:rsidR="001D276C" w:rsidRPr="00F406ED" w14:paraId="1D6ECF4F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735AD4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  <w:p w14:paraId="14707280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38E5592A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519A70BB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CE392EC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 достижение спортсменами Тихвинского городского поселения высоких спортивных результатов на официальных областных, всероссийских спортивных соревнованиях;</w:t>
            </w:r>
          </w:p>
          <w:p w14:paraId="31882B2C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создание необходимых условий для получения детьми и молодёжью качественных услуг по спортивной подготовке в сфере физической культуры</w:t>
            </w:r>
            <w:r>
              <w:rPr>
                <w:rFonts w:eastAsia="Calibri"/>
                <w:color w:val="000000"/>
                <w:sz w:val="24"/>
                <w:szCs w:val="24"/>
                <w:lang w:eastAsia="en-US"/>
              </w:rPr>
              <w:t>;</w:t>
            </w:r>
          </w:p>
          <w:p w14:paraId="4FECFCBE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организация проведения официальных физкультурных и спортивных мероприятий;</w:t>
            </w:r>
          </w:p>
          <w:p w14:paraId="51A8E2FC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обеспечение участия в официальных и других физкультурных и спортивных мероприятиях различного уровня;</w:t>
            </w:r>
          </w:p>
          <w:p w14:paraId="5718AED8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повышение мотивации различных категорий и групп населения к занятиям физической культурой и спортом и ведению здорового образа жизни;</w:t>
            </w:r>
          </w:p>
          <w:p w14:paraId="68F87161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организация занятий физкультурно-спортивной направленности по месту жительства;</w:t>
            </w:r>
          </w:p>
          <w:p w14:paraId="1E227912" w14:textId="77777777" w:rsidR="001D276C" w:rsidRPr="00F406ED" w:rsidRDefault="001D276C" w:rsidP="00A83149">
            <w:pPr>
              <w:suppressAutoHyphens/>
              <w:jc w:val="left"/>
              <w:rPr>
                <w:color w:val="000000"/>
                <w:sz w:val="24"/>
                <w:szCs w:val="24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п</w:t>
            </w:r>
            <w:r w:rsidRPr="00F406ED">
              <w:rPr>
                <w:color w:val="000000"/>
                <w:sz w:val="24"/>
                <w:szCs w:val="24"/>
              </w:rPr>
              <w:t>одготовка спортивного резерва;</w:t>
            </w:r>
          </w:p>
          <w:p w14:paraId="2B8B716C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развитие доступной инфраструктуры сферы физической культуры и спорта;</w:t>
            </w:r>
          </w:p>
          <w:p w14:paraId="1F8AF375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поэтапное внедрение Всероссийского физкультурно-спортивного комплекса «Готов к труду и обороне»;</w:t>
            </w:r>
          </w:p>
          <w:p w14:paraId="30AAA453" w14:textId="77777777" w:rsidR="001D276C" w:rsidRPr="002870E3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- популяризация массовых видов спорта.</w:t>
            </w:r>
          </w:p>
        </w:tc>
      </w:tr>
      <w:tr w:rsidR="001D276C" w:rsidRPr="00F406ED" w14:paraId="2F896064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F13C44B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 xml:space="preserve">Ожидаемые (конечные) результаты реализации муниципальной программы 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E4CBB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По итогам реализации муниципальной программы ожидается достижение следующих показателей:</w:t>
            </w:r>
          </w:p>
          <w:p w14:paraId="60B299D1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3EC3D8BE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доли населения, занимающегося физической культурой и спортом в общей численности населения до 62% в 2027 году;</w:t>
            </w:r>
          </w:p>
          <w:p w14:paraId="7A5EC77D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- увеличение доли граждан, выполнивших нормативы комплекса ГТО в общей численности населения, принявших участие в выполнении нормативов комплекса ГТО до 70 % в 2027 году.</w:t>
            </w:r>
          </w:p>
          <w:p w14:paraId="2117F7C7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  <w:tr w:rsidR="001D276C" w:rsidRPr="00F406ED" w14:paraId="0CA09D05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43A0AA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Подпрограммы муниципальной программы 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76668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Не требуются</w:t>
            </w:r>
          </w:p>
        </w:tc>
      </w:tr>
      <w:tr w:rsidR="001D276C" w:rsidRPr="00F406ED" w14:paraId="37F50072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B47866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7BA1A5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Не реализуются</w:t>
            </w:r>
          </w:p>
        </w:tc>
      </w:tr>
      <w:tr w:rsidR="001D276C" w:rsidRPr="00F406ED" w14:paraId="6F62A4E8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D1EF685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Финансовое обеспечение муниципальной программы – всего, в том числе по годам реализации</w:t>
            </w:r>
          </w:p>
          <w:p w14:paraId="37E435BE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  <w:p w14:paraId="48EE834E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130138B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Объем бюджетных ассигнований на реализацию муниципальной программы за период с 2025 по 2027 годы составляет 254013,95</w:t>
            </w:r>
            <w:r w:rsidRPr="00F406ED"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F406ED">
              <w:rPr>
                <w:rFonts w:eastAsia="Calibri"/>
                <w:bCs/>
                <w:color w:val="000000"/>
                <w:sz w:val="24"/>
                <w:szCs w:val="24"/>
                <w:lang w:eastAsia="en-US"/>
              </w:rPr>
              <w:t xml:space="preserve">тыс. руб., в том числе по годам реализации: </w:t>
            </w:r>
          </w:p>
          <w:p w14:paraId="2C6A648F" w14:textId="07B1E602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2025 год </w:t>
            </w:r>
            <w:r w:rsidRPr="001D276C">
              <w:rPr>
                <w:rFonts w:eastAsia="Calibri"/>
                <w:color w:val="000000" w:themeColor="text1"/>
                <w:sz w:val="24"/>
                <w:szCs w:val="24"/>
                <w:lang w:eastAsia="en-US"/>
              </w:rPr>
              <w:t>–</w:t>
            </w:r>
            <w:r w:rsidRPr="00F406ED"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 </w:t>
            </w: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88</w:t>
            </w:r>
            <w:r w:rsidR="0068618F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053,45 тыс. руб.;</w:t>
            </w:r>
          </w:p>
          <w:p w14:paraId="08A08A1C" w14:textId="4ED19FBC" w:rsidR="001D276C" w:rsidRPr="008D3B0A" w:rsidRDefault="001D276C" w:rsidP="00A83149">
            <w:pPr>
              <w:suppressAutoHyphens/>
              <w:jc w:val="left"/>
              <w:rPr>
                <w:rFonts w:eastAsia="Calibri"/>
                <w:color w:val="FF0000"/>
                <w:sz w:val="24"/>
                <w:szCs w:val="24"/>
                <w:lang w:eastAsia="en-US"/>
              </w:rPr>
            </w:pPr>
            <w:r w:rsidRPr="008D3B0A">
              <w:rPr>
                <w:rFonts w:eastAsia="Calibri"/>
                <w:color w:val="FF0000"/>
                <w:sz w:val="24"/>
                <w:szCs w:val="24"/>
                <w:lang w:eastAsia="en-US"/>
              </w:rPr>
              <w:t>2026 год – 83</w:t>
            </w:r>
            <w:r w:rsidR="0068618F"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 </w:t>
            </w:r>
            <w:bookmarkStart w:id="0" w:name="_GoBack"/>
            <w:bookmarkEnd w:id="0"/>
            <w:r w:rsidRPr="008D3B0A">
              <w:rPr>
                <w:rFonts w:eastAsia="Calibri"/>
                <w:color w:val="FF0000"/>
                <w:sz w:val="24"/>
                <w:szCs w:val="24"/>
                <w:lang w:eastAsia="en-US"/>
              </w:rPr>
              <w:t xml:space="preserve">667,35 тыс. руб.; </w:t>
            </w:r>
          </w:p>
          <w:p w14:paraId="11DF1015" w14:textId="77777777" w:rsidR="001D276C" w:rsidRPr="008D3B0A" w:rsidRDefault="001D276C" w:rsidP="00A83149">
            <w:pPr>
              <w:suppressAutoHyphens/>
              <w:jc w:val="left"/>
              <w:rPr>
                <w:rFonts w:eastAsia="Calibri"/>
                <w:bCs/>
                <w:color w:val="FF0000"/>
                <w:sz w:val="24"/>
                <w:szCs w:val="24"/>
                <w:lang w:eastAsia="en-US"/>
              </w:rPr>
            </w:pPr>
            <w:r w:rsidRPr="008D3B0A">
              <w:rPr>
                <w:rFonts w:eastAsia="Calibri"/>
                <w:color w:val="FF0000"/>
                <w:sz w:val="24"/>
                <w:szCs w:val="24"/>
                <w:lang w:eastAsia="en-US"/>
              </w:rPr>
              <w:t>2027 год – 82 293,15 тыс. руб.</w:t>
            </w:r>
          </w:p>
          <w:p w14:paraId="35789E6E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highlight w:val="yellow"/>
                <w:lang w:eastAsia="en-US"/>
              </w:rPr>
            </w:pPr>
          </w:p>
        </w:tc>
      </w:tr>
      <w:tr w:rsidR="001D276C" w:rsidRPr="00F406ED" w14:paraId="251AE375" w14:textId="77777777" w:rsidTr="00A83149">
        <w:tc>
          <w:tcPr>
            <w:tcW w:w="36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65D509E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94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EA8C73" w14:textId="77777777" w:rsidR="001D276C" w:rsidRPr="00F406ED" w:rsidRDefault="001D276C" w:rsidP="00A83149">
            <w:pPr>
              <w:suppressAutoHyphens/>
              <w:jc w:val="left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F406ED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5FCDDEB4" w14:textId="77777777" w:rsidR="00F63FB5" w:rsidRPr="00F63FB5" w:rsidRDefault="00F63FB5" w:rsidP="00F63FB5">
      <w:pPr>
        <w:rPr>
          <w:rFonts w:eastAsia="Calibri"/>
          <w:color w:val="000000"/>
          <w:sz w:val="24"/>
          <w:szCs w:val="24"/>
          <w:lang w:eastAsia="en-US"/>
        </w:rPr>
      </w:pPr>
    </w:p>
    <w:sectPr w:rsidR="00F63FB5" w:rsidRPr="00F63FB5" w:rsidSect="008B33C6">
      <w:pgSz w:w="12240" w:h="15840"/>
      <w:pgMar w:top="709" w:right="567" w:bottom="1134" w:left="1701" w:header="720" w:footer="72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BFBFBF1" w14:textId="77777777" w:rsidR="00D92619" w:rsidRDefault="00D92619" w:rsidP="00F63FB5">
      <w:r>
        <w:separator/>
      </w:r>
    </w:p>
  </w:endnote>
  <w:endnote w:type="continuationSeparator" w:id="0">
    <w:p w14:paraId="26018426" w14:textId="77777777" w:rsidR="00D92619" w:rsidRDefault="00D92619" w:rsidP="00F63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E09136" w14:textId="77777777" w:rsidR="00D92619" w:rsidRDefault="00D92619" w:rsidP="00F63FB5">
      <w:r>
        <w:separator/>
      </w:r>
    </w:p>
  </w:footnote>
  <w:footnote w:type="continuationSeparator" w:id="0">
    <w:p w14:paraId="65880186" w14:textId="77777777" w:rsidR="00D92619" w:rsidRDefault="00D92619" w:rsidP="00F63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0772B"/>
    <w:multiLevelType w:val="hybridMultilevel"/>
    <w:tmpl w:val="D6D65E3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0930194"/>
    <w:multiLevelType w:val="hybridMultilevel"/>
    <w:tmpl w:val="5B54082E"/>
    <w:lvl w:ilvl="0" w:tplc="0419000F">
      <w:start w:val="1"/>
      <w:numFmt w:val="decimal"/>
      <w:lvlText w:val="%1."/>
      <w:lvlJc w:val="left"/>
      <w:pPr>
        <w:ind w:left="947" w:hanging="360"/>
      </w:pPr>
    </w:lvl>
    <w:lvl w:ilvl="1" w:tplc="04190019" w:tentative="1">
      <w:start w:val="1"/>
      <w:numFmt w:val="lowerLetter"/>
      <w:lvlText w:val="%2."/>
      <w:lvlJc w:val="left"/>
      <w:pPr>
        <w:ind w:left="1667" w:hanging="360"/>
      </w:pPr>
    </w:lvl>
    <w:lvl w:ilvl="2" w:tplc="0419001B" w:tentative="1">
      <w:start w:val="1"/>
      <w:numFmt w:val="lowerRoman"/>
      <w:lvlText w:val="%3."/>
      <w:lvlJc w:val="right"/>
      <w:pPr>
        <w:ind w:left="2387" w:hanging="180"/>
      </w:pPr>
    </w:lvl>
    <w:lvl w:ilvl="3" w:tplc="0419000F" w:tentative="1">
      <w:start w:val="1"/>
      <w:numFmt w:val="decimal"/>
      <w:lvlText w:val="%4."/>
      <w:lvlJc w:val="left"/>
      <w:pPr>
        <w:ind w:left="3107" w:hanging="360"/>
      </w:pPr>
    </w:lvl>
    <w:lvl w:ilvl="4" w:tplc="04190019" w:tentative="1">
      <w:start w:val="1"/>
      <w:numFmt w:val="lowerLetter"/>
      <w:lvlText w:val="%5."/>
      <w:lvlJc w:val="left"/>
      <w:pPr>
        <w:ind w:left="3827" w:hanging="360"/>
      </w:pPr>
    </w:lvl>
    <w:lvl w:ilvl="5" w:tplc="0419001B" w:tentative="1">
      <w:start w:val="1"/>
      <w:numFmt w:val="lowerRoman"/>
      <w:lvlText w:val="%6."/>
      <w:lvlJc w:val="right"/>
      <w:pPr>
        <w:ind w:left="4547" w:hanging="180"/>
      </w:pPr>
    </w:lvl>
    <w:lvl w:ilvl="6" w:tplc="0419000F" w:tentative="1">
      <w:start w:val="1"/>
      <w:numFmt w:val="decimal"/>
      <w:lvlText w:val="%7."/>
      <w:lvlJc w:val="left"/>
      <w:pPr>
        <w:ind w:left="5267" w:hanging="360"/>
      </w:pPr>
    </w:lvl>
    <w:lvl w:ilvl="7" w:tplc="04190019" w:tentative="1">
      <w:start w:val="1"/>
      <w:numFmt w:val="lowerLetter"/>
      <w:lvlText w:val="%8."/>
      <w:lvlJc w:val="left"/>
      <w:pPr>
        <w:ind w:left="5987" w:hanging="360"/>
      </w:pPr>
    </w:lvl>
    <w:lvl w:ilvl="8" w:tplc="0419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7E02211"/>
    <w:multiLevelType w:val="hybridMultilevel"/>
    <w:tmpl w:val="B1E4F7B4"/>
    <w:lvl w:ilvl="0" w:tplc="D4041F2E">
      <w:start w:val="1"/>
      <w:numFmt w:val="decimal"/>
      <w:lvlText w:val="%1."/>
      <w:lvlJc w:val="left"/>
      <w:pPr>
        <w:ind w:left="5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7" w:hanging="360"/>
      </w:pPr>
    </w:lvl>
    <w:lvl w:ilvl="2" w:tplc="0419001B" w:tentative="1">
      <w:start w:val="1"/>
      <w:numFmt w:val="lowerRoman"/>
      <w:lvlText w:val="%3."/>
      <w:lvlJc w:val="right"/>
      <w:pPr>
        <w:ind w:left="2027" w:hanging="180"/>
      </w:pPr>
    </w:lvl>
    <w:lvl w:ilvl="3" w:tplc="0419000F" w:tentative="1">
      <w:start w:val="1"/>
      <w:numFmt w:val="decimal"/>
      <w:lvlText w:val="%4."/>
      <w:lvlJc w:val="left"/>
      <w:pPr>
        <w:ind w:left="2747" w:hanging="360"/>
      </w:pPr>
    </w:lvl>
    <w:lvl w:ilvl="4" w:tplc="04190019" w:tentative="1">
      <w:start w:val="1"/>
      <w:numFmt w:val="lowerLetter"/>
      <w:lvlText w:val="%5."/>
      <w:lvlJc w:val="left"/>
      <w:pPr>
        <w:ind w:left="3467" w:hanging="360"/>
      </w:pPr>
    </w:lvl>
    <w:lvl w:ilvl="5" w:tplc="0419001B" w:tentative="1">
      <w:start w:val="1"/>
      <w:numFmt w:val="lowerRoman"/>
      <w:lvlText w:val="%6."/>
      <w:lvlJc w:val="right"/>
      <w:pPr>
        <w:ind w:left="4187" w:hanging="180"/>
      </w:pPr>
    </w:lvl>
    <w:lvl w:ilvl="6" w:tplc="0419000F" w:tentative="1">
      <w:start w:val="1"/>
      <w:numFmt w:val="decimal"/>
      <w:lvlText w:val="%7."/>
      <w:lvlJc w:val="left"/>
      <w:pPr>
        <w:ind w:left="4907" w:hanging="360"/>
      </w:pPr>
    </w:lvl>
    <w:lvl w:ilvl="7" w:tplc="04190019" w:tentative="1">
      <w:start w:val="1"/>
      <w:numFmt w:val="lowerLetter"/>
      <w:lvlText w:val="%8."/>
      <w:lvlJc w:val="left"/>
      <w:pPr>
        <w:ind w:left="5627" w:hanging="360"/>
      </w:pPr>
    </w:lvl>
    <w:lvl w:ilvl="8" w:tplc="0419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3" w15:restartNumberingAfterBreak="0">
    <w:nsid w:val="3416733A"/>
    <w:multiLevelType w:val="hybridMultilevel"/>
    <w:tmpl w:val="D0BEBD0E"/>
    <w:lvl w:ilvl="0" w:tplc="A8DA5B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8AC2F90"/>
    <w:multiLevelType w:val="hybridMultilevel"/>
    <w:tmpl w:val="B852A920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" w15:restartNumberingAfterBreak="0">
    <w:nsid w:val="7C680758"/>
    <w:multiLevelType w:val="hybridMultilevel"/>
    <w:tmpl w:val="FAE6E776"/>
    <w:lvl w:ilvl="0" w:tplc="A8DA5B94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4F8D"/>
    <w:rsid w:val="001D276C"/>
    <w:rsid w:val="001F265D"/>
    <w:rsid w:val="0026583A"/>
    <w:rsid w:val="00285D0C"/>
    <w:rsid w:val="002A2B11"/>
    <w:rsid w:val="002F22EB"/>
    <w:rsid w:val="00326996"/>
    <w:rsid w:val="003B594B"/>
    <w:rsid w:val="0043001D"/>
    <w:rsid w:val="004914DD"/>
    <w:rsid w:val="004F0024"/>
    <w:rsid w:val="00511A2B"/>
    <w:rsid w:val="00554BEC"/>
    <w:rsid w:val="0057058B"/>
    <w:rsid w:val="00595F6F"/>
    <w:rsid w:val="005C0140"/>
    <w:rsid w:val="006415B0"/>
    <w:rsid w:val="006463D8"/>
    <w:rsid w:val="0068618F"/>
    <w:rsid w:val="00711921"/>
    <w:rsid w:val="00796BD1"/>
    <w:rsid w:val="00886397"/>
    <w:rsid w:val="008A3858"/>
    <w:rsid w:val="008B33C6"/>
    <w:rsid w:val="008D3B0A"/>
    <w:rsid w:val="009840BA"/>
    <w:rsid w:val="00A03876"/>
    <w:rsid w:val="00A13C7B"/>
    <w:rsid w:val="00AE1A2A"/>
    <w:rsid w:val="00B1723E"/>
    <w:rsid w:val="00B52D22"/>
    <w:rsid w:val="00B83D8D"/>
    <w:rsid w:val="00B95FEE"/>
    <w:rsid w:val="00BF2B0B"/>
    <w:rsid w:val="00D368DC"/>
    <w:rsid w:val="00D92619"/>
    <w:rsid w:val="00D97342"/>
    <w:rsid w:val="00E42CED"/>
    <w:rsid w:val="00F4320C"/>
    <w:rsid w:val="00F63FB5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6B05163"/>
  <w15:chartTrackingRefBased/>
  <w15:docId w15:val="{7CC0E3AD-0E5E-405D-8C31-A427059EFE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rsid w:val="000478EB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rsid w:val="00F63FB5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F63FB5"/>
    <w:rPr>
      <w:sz w:val="28"/>
    </w:rPr>
  </w:style>
  <w:style w:type="paragraph" w:styleId="ac">
    <w:name w:val="footer"/>
    <w:basedOn w:val="a"/>
    <w:link w:val="ad"/>
    <w:uiPriority w:val="99"/>
    <w:rsid w:val="00F63FB5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F63FB5"/>
    <w:rPr>
      <w:sz w:val="28"/>
    </w:rPr>
  </w:style>
  <w:style w:type="paragraph" w:styleId="ae">
    <w:name w:val="List Paragraph"/>
    <w:basedOn w:val="a"/>
    <w:uiPriority w:val="34"/>
    <w:qFormat/>
    <w:rsid w:val="00F63FB5"/>
    <w:pPr>
      <w:ind w:left="720"/>
      <w:contextualSpacing/>
    </w:pPr>
  </w:style>
  <w:style w:type="numbering" w:customStyle="1" w:styleId="11">
    <w:name w:val="Нет списка1"/>
    <w:next w:val="a2"/>
    <w:uiPriority w:val="99"/>
    <w:semiHidden/>
    <w:unhideWhenUsed/>
    <w:rsid w:val="00F63FB5"/>
  </w:style>
  <w:style w:type="paragraph" w:customStyle="1" w:styleId="Heading">
    <w:name w:val="Heading"/>
    <w:uiPriority w:val="99"/>
    <w:rsid w:val="00F63FB5"/>
    <w:pPr>
      <w:autoSpaceDE w:val="0"/>
      <w:autoSpaceDN w:val="0"/>
      <w:adjustRightInd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character" w:customStyle="1" w:styleId="a9">
    <w:name w:val="Текст выноски Знак"/>
    <w:link w:val="a8"/>
    <w:uiPriority w:val="99"/>
    <w:semiHidden/>
    <w:rsid w:val="00F63FB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F63FB5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character" w:customStyle="1" w:styleId="10">
    <w:name w:val="Заголовок 1 Знак"/>
    <w:link w:val="1"/>
    <w:uiPriority w:val="9"/>
    <w:rsid w:val="00F63FB5"/>
    <w:rPr>
      <w:b/>
      <w:sz w:val="24"/>
    </w:rPr>
  </w:style>
  <w:style w:type="character" w:styleId="af">
    <w:name w:val="Hyperlink"/>
    <w:uiPriority w:val="99"/>
    <w:unhideWhenUsed/>
    <w:rsid w:val="00F63FB5"/>
    <w:rPr>
      <w:color w:val="0563C1"/>
      <w:u w:val="single"/>
    </w:rPr>
  </w:style>
  <w:style w:type="paragraph" w:customStyle="1" w:styleId="12">
    <w:name w:val="Без интервала1"/>
    <w:rsid w:val="00F63FB5"/>
    <w:rPr>
      <w:rFonts w:ascii="Calibri" w:hAnsi="Calibri"/>
      <w:sz w:val="22"/>
      <w:szCs w:val="22"/>
      <w:lang w:eastAsia="en-US"/>
    </w:rPr>
  </w:style>
  <w:style w:type="paragraph" w:styleId="af0">
    <w:name w:val="Normal (Web)"/>
    <w:basedOn w:val="a"/>
    <w:uiPriority w:val="99"/>
    <w:unhideWhenUsed/>
    <w:rsid w:val="00F63FB5"/>
    <w:pPr>
      <w:spacing w:before="100" w:beforeAutospacing="1" w:after="100" w:afterAutospacing="1"/>
      <w:jc w:val="left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354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3025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7</cp:revision>
  <cp:lastPrinted>2023-11-13T13:58:00Z</cp:lastPrinted>
  <dcterms:created xsi:type="dcterms:W3CDTF">2023-10-30T14:02:00Z</dcterms:created>
  <dcterms:modified xsi:type="dcterms:W3CDTF">2024-11-07T09:34:00Z</dcterms:modified>
</cp:coreProperties>
</file>