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360" w:rsidRDefault="00E76360" w:rsidP="0053727D">
      <w:pPr>
        <w:ind w:firstLine="225"/>
        <w:jc w:val="center"/>
        <w:rPr>
          <w:b/>
          <w:color w:val="000000"/>
          <w:sz w:val="28"/>
          <w:szCs w:val="28"/>
        </w:rPr>
      </w:pPr>
    </w:p>
    <w:p w:rsidR="00E76360" w:rsidRDefault="00E76360" w:rsidP="00BE37CD">
      <w:pPr>
        <w:rPr>
          <w:b/>
          <w:color w:val="000000"/>
          <w:sz w:val="28"/>
          <w:szCs w:val="28"/>
        </w:rPr>
      </w:pPr>
    </w:p>
    <w:p w:rsidR="00E76360" w:rsidRPr="0051546F" w:rsidRDefault="00E76360" w:rsidP="0053727D">
      <w:pPr>
        <w:ind w:firstLine="225"/>
        <w:jc w:val="center"/>
        <w:rPr>
          <w:b/>
          <w:color w:val="000000"/>
          <w:sz w:val="28"/>
          <w:szCs w:val="28"/>
        </w:rPr>
      </w:pPr>
      <w:r w:rsidRPr="0051546F">
        <w:rPr>
          <w:b/>
          <w:color w:val="000000"/>
          <w:sz w:val="28"/>
          <w:szCs w:val="28"/>
        </w:rPr>
        <w:t>Сводный годовой доклад о ходе реализации и оценке эффективности муниципальных программ Тихвинского района за 20</w:t>
      </w:r>
      <w:r w:rsidR="004964C5" w:rsidRPr="0051546F">
        <w:rPr>
          <w:b/>
          <w:color w:val="000000"/>
          <w:sz w:val="28"/>
          <w:szCs w:val="28"/>
        </w:rPr>
        <w:t>2</w:t>
      </w:r>
      <w:r w:rsidR="00AA058E" w:rsidRPr="0051546F">
        <w:rPr>
          <w:b/>
          <w:color w:val="000000"/>
          <w:sz w:val="28"/>
          <w:szCs w:val="28"/>
        </w:rPr>
        <w:t>3</w:t>
      </w:r>
      <w:r w:rsidR="00FE02B6" w:rsidRPr="0051546F">
        <w:rPr>
          <w:b/>
          <w:color w:val="000000"/>
          <w:sz w:val="28"/>
          <w:szCs w:val="28"/>
        </w:rPr>
        <w:t xml:space="preserve"> </w:t>
      </w:r>
      <w:r w:rsidRPr="0051546F">
        <w:rPr>
          <w:b/>
          <w:color w:val="000000"/>
          <w:sz w:val="28"/>
          <w:szCs w:val="28"/>
        </w:rPr>
        <w:t>год.</w:t>
      </w:r>
    </w:p>
    <w:p w:rsidR="00E76360" w:rsidRPr="0051546F" w:rsidRDefault="00E76360" w:rsidP="0073045D">
      <w:pPr>
        <w:ind w:firstLine="708"/>
        <w:jc w:val="center"/>
        <w:rPr>
          <w:b/>
        </w:rPr>
      </w:pPr>
    </w:p>
    <w:p w:rsidR="00E76360" w:rsidRPr="0051546F" w:rsidRDefault="00E76360" w:rsidP="00E53A0F">
      <w:pPr>
        <w:rPr>
          <w:b/>
        </w:rPr>
      </w:pPr>
    </w:p>
    <w:p w:rsidR="00E76360" w:rsidRPr="0051546F" w:rsidRDefault="00E76360" w:rsidP="00E53A0F">
      <w:pPr>
        <w:rPr>
          <w:b/>
        </w:rPr>
      </w:pPr>
      <w:smartTag w:uri="urn:schemas-microsoft-com:office:smarttags" w:element="place">
        <w:r w:rsidRPr="0051546F">
          <w:rPr>
            <w:b/>
            <w:lang w:val="en-US"/>
          </w:rPr>
          <w:t>I</w:t>
        </w:r>
        <w:r w:rsidRPr="0051546F">
          <w:rPr>
            <w:b/>
          </w:rPr>
          <w:t>.</w:t>
        </w:r>
      </w:smartTag>
      <w:r w:rsidRPr="0051546F">
        <w:rPr>
          <w:b/>
        </w:rPr>
        <w:t xml:space="preserve"> Пояснительная записка к отчету о достигнутых значениях целевых показателей и уровне эффективности муниципальных программ Тихвинского района за 20</w:t>
      </w:r>
      <w:r w:rsidR="00DD2C16" w:rsidRPr="0051546F">
        <w:rPr>
          <w:b/>
        </w:rPr>
        <w:t>2</w:t>
      </w:r>
      <w:r w:rsidR="00AA058E" w:rsidRPr="0051546F">
        <w:rPr>
          <w:b/>
        </w:rPr>
        <w:t>3</w:t>
      </w:r>
      <w:r w:rsidRPr="0051546F">
        <w:rPr>
          <w:b/>
        </w:rPr>
        <w:t xml:space="preserve"> год</w:t>
      </w:r>
    </w:p>
    <w:p w:rsidR="00E76360" w:rsidRPr="0051546F" w:rsidRDefault="00E76360" w:rsidP="00B22713">
      <w:pPr>
        <w:ind w:firstLine="708"/>
        <w:jc w:val="both"/>
      </w:pPr>
    </w:p>
    <w:p w:rsidR="00E76360" w:rsidRPr="0051546F" w:rsidRDefault="00E76360" w:rsidP="00B22713">
      <w:pPr>
        <w:ind w:firstLine="708"/>
        <w:jc w:val="both"/>
      </w:pPr>
      <w:r w:rsidRPr="0051546F">
        <w:t>В 20</w:t>
      </w:r>
      <w:r w:rsidR="004964C5" w:rsidRPr="0051546F">
        <w:t>2</w:t>
      </w:r>
      <w:r w:rsidR="00AA058E" w:rsidRPr="0051546F">
        <w:t>3</w:t>
      </w:r>
      <w:r w:rsidRPr="0051546F">
        <w:t xml:space="preserve"> году по Тихвинскому району предусмотрены к финансированию </w:t>
      </w:r>
      <w:r w:rsidR="00AA058E" w:rsidRPr="0051546F">
        <w:t>16</w:t>
      </w:r>
      <w:r w:rsidR="00AA058E" w:rsidRPr="0051546F">
        <w:rPr>
          <w:color w:val="FF0000"/>
        </w:rPr>
        <w:t xml:space="preserve"> </w:t>
      </w:r>
      <w:r w:rsidRPr="0051546F">
        <w:t xml:space="preserve">муниципальных программ.  </w:t>
      </w:r>
    </w:p>
    <w:p w:rsidR="00E76360" w:rsidRPr="0051546F" w:rsidRDefault="00E76360" w:rsidP="00EB717D">
      <w:pPr>
        <w:ind w:firstLine="708"/>
        <w:jc w:val="both"/>
      </w:pPr>
      <w:r w:rsidRPr="0051546F">
        <w:t>За январь-декабрь 20</w:t>
      </w:r>
      <w:r w:rsidR="004964C5" w:rsidRPr="0051546F">
        <w:t>2</w:t>
      </w:r>
      <w:r w:rsidR="00AA058E" w:rsidRPr="0051546F">
        <w:t>3</w:t>
      </w:r>
      <w:r w:rsidRPr="0051546F">
        <w:t xml:space="preserve"> года суммарный объ</w:t>
      </w:r>
      <w:r w:rsidR="00D30CA2" w:rsidRPr="0051546F">
        <w:t>ё</w:t>
      </w:r>
      <w:r w:rsidRPr="0051546F">
        <w:t xml:space="preserve">м финансирования программ в Тихвинском районе составил </w:t>
      </w:r>
      <w:r w:rsidR="0051546F" w:rsidRPr="0051546F">
        <w:t>240</w:t>
      </w:r>
      <w:r w:rsidR="00A77640">
        <w:t>3</w:t>
      </w:r>
      <w:r w:rsidR="001F0AF7" w:rsidRPr="0051546F">
        <w:t xml:space="preserve"> </w:t>
      </w:r>
      <w:r w:rsidRPr="0051546F">
        <w:t>млн. руб. (</w:t>
      </w:r>
      <w:r w:rsidR="001F0AF7" w:rsidRPr="0051546F">
        <w:t>9</w:t>
      </w:r>
      <w:r w:rsidR="0051546F" w:rsidRPr="0051546F">
        <w:t>9</w:t>
      </w:r>
      <w:r w:rsidR="001F0AF7" w:rsidRPr="0051546F">
        <w:t>,</w:t>
      </w:r>
      <w:r w:rsidR="0051546F" w:rsidRPr="0051546F">
        <w:t>17</w:t>
      </w:r>
      <w:r w:rsidRPr="0051546F">
        <w:t xml:space="preserve">% от запланированного годового объема </w:t>
      </w:r>
      <w:r w:rsidR="0051546F" w:rsidRPr="0051546F">
        <w:t>242</w:t>
      </w:r>
      <w:r w:rsidR="00A77640">
        <w:t>3</w:t>
      </w:r>
      <w:r w:rsidR="005530F1" w:rsidRPr="0051546F">
        <w:t xml:space="preserve"> </w:t>
      </w:r>
      <w:r w:rsidRPr="0051546F">
        <w:t xml:space="preserve">млн. руб.). </w:t>
      </w:r>
    </w:p>
    <w:p w:rsidR="004F44C1" w:rsidRPr="0051546F" w:rsidRDefault="00E76360" w:rsidP="00E048DC">
      <w:pPr>
        <w:jc w:val="both"/>
      </w:pPr>
      <w:r w:rsidRPr="0051546F">
        <w:tab/>
      </w:r>
      <w:r w:rsidR="00376DB6" w:rsidRPr="0051546F">
        <w:t>Отчёт о достигнутых значениях целевых показателей и уровне эффективности муниципальных программ Тихвинского городского поселения за 202</w:t>
      </w:r>
      <w:r w:rsidR="0051546F" w:rsidRPr="0051546F">
        <w:t>3</w:t>
      </w:r>
      <w:r w:rsidR="00376DB6" w:rsidRPr="0051546F">
        <w:t xml:space="preserve"> год составлен в соответствии с Порядком разработки, реализации и оценки эффективности муниципальных программ Тихвинского района и Тихвинского городского поселения, утверждённым Постановлением администрации от 25.10.2021 г. № 01-2056-а.</w:t>
      </w:r>
    </w:p>
    <w:p w:rsidR="00E76360" w:rsidRPr="0051546F" w:rsidRDefault="00E76360" w:rsidP="00E048DC">
      <w:pPr>
        <w:jc w:val="both"/>
      </w:pPr>
      <w:r w:rsidRPr="0051546F">
        <w:tab/>
        <w:t>В соответствии с Постановлением ответственными исполнителями муниципальных программ были предоставлены годовые отч</w:t>
      </w:r>
      <w:r w:rsidR="003325CF" w:rsidRPr="0051546F">
        <w:t>ё</w:t>
      </w:r>
      <w:r w:rsidRPr="0051546F">
        <w:t>ты о ходе реализации и оценке эффективности муниципальных программ.</w:t>
      </w:r>
    </w:p>
    <w:p w:rsidR="00E76360" w:rsidRPr="0051546F" w:rsidRDefault="00E76360" w:rsidP="00EB717D">
      <w:pPr>
        <w:ind w:firstLine="708"/>
        <w:jc w:val="both"/>
      </w:pPr>
      <w:r w:rsidRPr="0051546F">
        <w:t>На основании данных, представленных в годовых отч</w:t>
      </w:r>
      <w:r w:rsidR="003325CF" w:rsidRPr="0051546F">
        <w:t>ё</w:t>
      </w:r>
      <w:r w:rsidRPr="0051546F">
        <w:t>тах, провед</w:t>
      </w:r>
      <w:r w:rsidR="003325CF" w:rsidRPr="0051546F">
        <w:t>ё</w:t>
      </w:r>
      <w:r w:rsidRPr="0051546F">
        <w:t xml:space="preserve">н анализ эффективности и результативности муниципальных программ. </w:t>
      </w:r>
    </w:p>
    <w:p w:rsidR="00E76360" w:rsidRPr="0051546F" w:rsidRDefault="00E76360" w:rsidP="00A22978">
      <w:pPr>
        <w:ind w:firstLine="708"/>
        <w:jc w:val="both"/>
        <w:rPr>
          <w:b/>
        </w:rPr>
      </w:pPr>
      <w:r w:rsidRPr="0051546F">
        <w:rPr>
          <w:b/>
        </w:rPr>
        <w:t>Оценка эффективности реализации муниципальных программ проводилась по 2 критериям:</w:t>
      </w:r>
    </w:p>
    <w:p w:rsidR="00E31E47" w:rsidRPr="0051546F" w:rsidRDefault="00E31E47" w:rsidP="00E31E47">
      <w:pPr>
        <w:ind w:firstLine="708"/>
        <w:jc w:val="both"/>
      </w:pPr>
      <w:r w:rsidRPr="0051546F">
        <w:t xml:space="preserve">1) оценки степени достижения целей и решения задач муниципальных программ путём сопоставления фактически достигнутых значений индикаторов муниципальных программ с их плановыми значениями; </w:t>
      </w:r>
    </w:p>
    <w:p w:rsidR="00E31E47" w:rsidRPr="0051546F" w:rsidRDefault="00E31E47" w:rsidP="00E31E47">
      <w:pPr>
        <w:ind w:firstLine="708"/>
        <w:jc w:val="both"/>
      </w:pPr>
      <w:r w:rsidRPr="0051546F">
        <w:t xml:space="preserve">2) </w:t>
      </w:r>
      <w:r w:rsidRPr="0051546F">
        <w:rPr>
          <w:vanish/>
          <w:color w:val="000000"/>
        </w:rPr>
        <w:t>#G0</w:t>
      </w:r>
      <w:r w:rsidRPr="0051546F">
        <w:rPr>
          <w:bCs/>
          <w:color w:val="000000"/>
        </w:rPr>
        <w:t>степени соответствия запланированному уровню затрат и эффективности использования средств местного бюджета и иных источников ресурсного обеспечения муниципальной программы</w:t>
      </w:r>
      <w:r w:rsidRPr="0051546F">
        <w:rPr>
          <w:color w:val="000000"/>
        </w:rPr>
        <w:t xml:space="preserve"> путём сопоставления фактических и плановых объёмов финансирования муниципальной программы</w:t>
      </w:r>
      <w:r w:rsidRPr="0051546F">
        <w:t xml:space="preserve"> в целом.</w:t>
      </w:r>
    </w:p>
    <w:p w:rsidR="00E76360" w:rsidRPr="0051546F" w:rsidRDefault="00E31E47" w:rsidP="00E31E47">
      <w:pPr>
        <w:ind w:firstLine="708"/>
        <w:jc w:val="both"/>
      </w:pPr>
      <w:r w:rsidRPr="0051546F">
        <w:t>Оценка эффективности программы производилась в соответствии с достигнутыми фактическими значениями:</w:t>
      </w:r>
    </w:p>
    <w:p w:rsidR="00E76360" w:rsidRPr="0051546F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51546F">
        <w:rPr>
          <w:b/>
        </w:rPr>
        <w:tab/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3366"/>
        <w:gridCol w:w="2909"/>
        <w:gridCol w:w="2828"/>
      </w:tblGrid>
      <w:tr w:rsidR="00ED1A51" w:rsidRPr="0051546F" w:rsidTr="002146EE">
        <w:trPr>
          <w:trHeight w:val="1098"/>
          <w:jc w:val="center"/>
        </w:trPr>
        <w:tc>
          <w:tcPr>
            <w:tcW w:w="447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3366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Уровень эффективности программы</w:t>
            </w:r>
          </w:p>
        </w:tc>
        <w:tc>
          <w:tcPr>
            <w:tcW w:w="2909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Доля показателей (индикаторов), соответствующих плановым, %</w:t>
            </w:r>
          </w:p>
          <w:p w:rsidR="00E76360" w:rsidRPr="0051546F" w:rsidRDefault="00E76360" w:rsidP="00EF0610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51546F">
              <w:t>(</w:t>
            </w:r>
            <w:proofErr w:type="spellStart"/>
            <w:r w:rsidRPr="0051546F">
              <w:t>С</w:t>
            </w:r>
            <w:r w:rsidRPr="0051546F">
              <w:rPr>
                <w:vertAlign w:val="subscript"/>
              </w:rPr>
              <w:t>д</w:t>
            </w:r>
            <w:proofErr w:type="spellEnd"/>
            <w:r w:rsidRPr="0051546F">
              <w:rPr>
                <w:vertAlign w:val="subscript"/>
              </w:rPr>
              <w:t xml:space="preserve"> </w:t>
            </w:r>
            <w:r w:rsidRPr="0051546F">
              <w:t xml:space="preserve">= К </w:t>
            </w:r>
            <w:r w:rsidRPr="0051546F">
              <w:rPr>
                <w:vertAlign w:val="subscript"/>
              </w:rPr>
              <w:t>≥95</w:t>
            </w:r>
            <w:r w:rsidRPr="0051546F">
              <w:t>/</w:t>
            </w:r>
            <w:proofErr w:type="spellStart"/>
            <w:r w:rsidRPr="0051546F">
              <w:t>К</w:t>
            </w:r>
            <w:r w:rsidRPr="0051546F">
              <w:rPr>
                <w:vertAlign w:val="subscript"/>
              </w:rPr>
              <w:t>общ</w:t>
            </w:r>
            <w:proofErr w:type="spellEnd"/>
            <w:r w:rsidRPr="0051546F">
              <w:rPr>
                <w:vertAlign w:val="subscript"/>
              </w:rPr>
              <w:t xml:space="preserve">. </w:t>
            </w:r>
            <w:r w:rsidRPr="0051546F">
              <w:t>х 100%)*</w:t>
            </w:r>
          </w:p>
        </w:tc>
        <w:tc>
          <w:tcPr>
            <w:tcW w:w="2828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Уровень финансирования реализации программы, %</w:t>
            </w:r>
          </w:p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51546F">
              <w:t>(У</w:t>
            </w:r>
            <w:r w:rsidRPr="0051546F">
              <w:rPr>
                <w:vertAlign w:val="subscript"/>
              </w:rPr>
              <w:t>ф</w:t>
            </w:r>
            <w:r w:rsidRPr="0051546F">
              <w:t xml:space="preserve"> = </w:t>
            </w:r>
            <w:proofErr w:type="spellStart"/>
            <w:r w:rsidRPr="0051546F">
              <w:t>Ф</w:t>
            </w:r>
            <w:r w:rsidRPr="0051546F">
              <w:rPr>
                <w:vertAlign w:val="subscript"/>
              </w:rPr>
              <w:t>ф</w:t>
            </w:r>
            <w:proofErr w:type="spellEnd"/>
            <w:r w:rsidRPr="0051546F">
              <w:t>/</w:t>
            </w:r>
            <w:proofErr w:type="spellStart"/>
            <w:r w:rsidRPr="0051546F">
              <w:t>Ф</w:t>
            </w:r>
            <w:r w:rsidRPr="0051546F">
              <w:rPr>
                <w:vertAlign w:val="subscript"/>
              </w:rPr>
              <w:t>пл</w:t>
            </w:r>
            <w:proofErr w:type="spellEnd"/>
            <w:r w:rsidRPr="0051546F">
              <w:rPr>
                <w:vertAlign w:val="subscript"/>
              </w:rPr>
              <w:t xml:space="preserve"> </w:t>
            </w:r>
            <w:r w:rsidRPr="0051546F">
              <w:t>х 100%)</w:t>
            </w:r>
          </w:p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</w:p>
        </w:tc>
      </w:tr>
      <w:tr w:rsidR="00ED1A51" w:rsidRPr="0051546F" w:rsidTr="002146EE">
        <w:trPr>
          <w:trHeight w:val="270"/>
          <w:jc w:val="center"/>
        </w:trPr>
        <w:tc>
          <w:tcPr>
            <w:tcW w:w="447" w:type="dxa"/>
          </w:tcPr>
          <w:p w:rsidR="00E76360" w:rsidRPr="0051546F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51546F">
              <w:t>1</w:t>
            </w:r>
          </w:p>
        </w:tc>
        <w:tc>
          <w:tcPr>
            <w:tcW w:w="3366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51546F">
              <w:t>высокий</w:t>
            </w:r>
          </w:p>
        </w:tc>
        <w:tc>
          <w:tcPr>
            <w:tcW w:w="2909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51546F">
              <w:t>≥ 95</w:t>
            </w:r>
          </w:p>
        </w:tc>
        <w:tc>
          <w:tcPr>
            <w:tcW w:w="2828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51546F">
              <w:t>≥95</w:t>
            </w:r>
          </w:p>
        </w:tc>
      </w:tr>
      <w:tr w:rsidR="00ED1A51" w:rsidRPr="0051546F" w:rsidTr="002146EE">
        <w:trPr>
          <w:trHeight w:val="270"/>
          <w:jc w:val="center"/>
        </w:trPr>
        <w:tc>
          <w:tcPr>
            <w:tcW w:w="447" w:type="dxa"/>
          </w:tcPr>
          <w:p w:rsidR="00E76360" w:rsidRPr="0051546F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51546F">
              <w:t>2</w:t>
            </w:r>
          </w:p>
        </w:tc>
        <w:tc>
          <w:tcPr>
            <w:tcW w:w="3366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51546F">
              <w:t>удовлетворительный</w:t>
            </w:r>
          </w:p>
        </w:tc>
        <w:tc>
          <w:tcPr>
            <w:tcW w:w="2909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51546F">
              <w:t>≥80</w:t>
            </w:r>
          </w:p>
        </w:tc>
        <w:tc>
          <w:tcPr>
            <w:tcW w:w="2828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51546F">
              <w:t>≥80</w:t>
            </w:r>
          </w:p>
        </w:tc>
      </w:tr>
      <w:tr w:rsidR="00E76360" w:rsidRPr="0051546F" w:rsidTr="002146EE">
        <w:trPr>
          <w:trHeight w:val="293"/>
          <w:jc w:val="center"/>
        </w:trPr>
        <w:tc>
          <w:tcPr>
            <w:tcW w:w="447" w:type="dxa"/>
          </w:tcPr>
          <w:p w:rsidR="00E76360" w:rsidRPr="0051546F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51546F">
              <w:t>3</w:t>
            </w:r>
          </w:p>
        </w:tc>
        <w:tc>
          <w:tcPr>
            <w:tcW w:w="3366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51546F">
              <w:t>неудовлетворительный</w:t>
            </w:r>
          </w:p>
        </w:tc>
        <w:tc>
          <w:tcPr>
            <w:tcW w:w="2909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51546F">
              <w:rPr>
                <w:lang w:val="en-US"/>
              </w:rPr>
              <w:t>&lt;</w:t>
            </w:r>
            <w:r w:rsidRPr="0051546F">
              <w:t xml:space="preserve"> 80</w:t>
            </w:r>
          </w:p>
        </w:tc>
        <w:tc>
          <w:tcPr>
            <w:tcW w:w="2828" w:type="dxa"/>
          </w:tcPr>
          <w:p w:rsidR="00E76360" w:rsidRPr="0051546F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51546F">
              <w:rPr>
                <w:lang w:val="en-US"/>
              </w:rPr>
              <w:t>&lt;</w:t>
            </w:r>
            <w:r w:rsidRPr="0051546F">
              <w:t>80</w:t>
            </w:r>
          </w:p>
        </w:tc>
      </w:tr>
    </w:tbl>
    <w:p w:rsidR="00E76360" w:rsidRPr="0051546F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</w:p>
    <w:p w:rsidR="00E76360" w:rsidRPr="0051546F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51546F">
        <w:rPr>
          <w:i/>
          <w:sz w:val="22"/>
          <w:szCs w:val="22"/>
        </w:rPr>
        <w:t>* - при расчете доли индикаторов, соответствующим плановым, в расчет бралось отношение количества индикаторов с достигнутыми фактическими значениями ≥95% к общему количеству индикаторов программы</w:t>
      </w:r>
    </w:p>
    <w:p w:rsidR="00BE37CD" w:rsidRPr="0051546F" w:rsidRDefault="00BE37CD">
      <w:r w:rsidRPr="0051546F">
        <w:br w:type="page"/>
      </w:r>
    </w:p>
    <w:p w:rsidR="002E0BA2" w:rsidRPr="0051546F" w:rsidRDefault="002E0BA2" w:rsidP="00F825A7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E76360" w:rsidRPr="0051546F" w:rsidRDefault="00E76360" w:rsidP="00F825A7">
      <w:pPr>
        <w:widowControl w:val="0"/>
        <w:tabs>
          <w:tab w:val="left" w:pos="284"/>
          <w:tab w:val="left" w:pos="1080"/>
        </w:tabs>
        <w:ind w:firstLine="709"/>
        <w:jc w:val="both"/>
      </w:pPr>
      <w:r w:rsidRPr="0051546F">
        <w:t>В результате провед</w:t>
      </w:r>
      <w:r w:rsidR="009D2C6E" w:rsidRPr="0051546F">
        <w:t>ё</w:t>
      </w:r>
      <w:r w:rsidRPr="0051546F">
        <w:t>нной оценки эффективности</w:t>
      </w:r>
      <w:r w:rsidRPr="0051546F">
        <w:rPr>
          <w:bCs/>
        </w:rPr>
        <w:t xml:space="preserve"> муниципальных программ по Тихвинскому району</w:t>
      </w:r>
      <w:r w:rsidRPr="0051546F">
        <w:t xml:space="preserve">:  </w:t>
      </w:r>
    </w:p>
    <w:p w:rsidR="00E76360" w:rsidRPr="0051546F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Cs/>
        </w:rPr>
      </w:pPr>
    </w:p>
    <w:p w:rsidR="00E76360" w:rsidRPr="0051546F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51546F">
        <w:rPr>
          <w:b/>
          <w:bCs/>
        </w:rPr>
        <w:t xml:space="preserve">Признать степень </w:t>
      </w:r>
      <w:r w:rsidRPr="0051546F">
        <w:rPr>
          <w:b/>
        </w:rPr>
        <w:t>эффективности</w:t>
      </w:r>
      <w:r w:rsidRPr="0051546F">
        <w:rPr>
          <w:b/>
          <w:bCs/>
        </w:rPr>
        <w:t xml:space="preserve"> выполнения следующих программ высокой:</w:t>
      </w:r>
    </w:p>
    <w:p w:rsidR="00066384" w:rsidRPr="0051546F" w:rsidRDefault="00066384" w:rsidP="00A01AD3">
      <w:pPr>
        <w:jc w:val="both"/>
      </w:pPr>
    </w:p>
    <w:p w:rsidR="0003374F" w:rsidRPr="0051546F" w:rsidRDefault="0003374F" w:rsidP="0003374F">
      <w:pPr>
        <w:jc w:val="both"/>
      </w:pPr>
      <w:r w:rsidRPr="0051546F">
        <w:t>1. МП «Современное образование в Тихвинском районе»</w:t>
      </w:r>
      <w:r w:rsidRPr="0051546F">
        <w:rPr>
          <w:iCs/>
        </w:rPr>
        <w:t xml:space="preserve"> - ответственный исполнитель – комитет </w:t>
      </w:r>
      <w:r w:rsidR="00217E4B" w:rsidRPr="0051546F">
        <w:rPr>
          <w:iCs/>
        </w:rPr>
        <w:t xml:space="preserve">по </w:t>
      </w:r>
      <w:r w:rsidRPr="0051546F">
        <w:rPr>
          <w:iCs/>
        </w:rPr>
        <w:t>образовани</w:t>
      </w:r>
      <w:r w:rsidR="00217E4B" w:rsidRPr="0051546F">
        <w:rPr>
          <w:iCs/>
        </w:rPr>
        <w:t>ю</w:t>
      </w:r>
      <w:r w:rsidRPr="0051546F">
        <w:rPr>
          <w:iCs/>
        </w:rPr>
        <w:t>;</w:t>
      </w:r>
    </w:p>
    <w:p w:rsidR="00780935" w:rsidRDefault="0003374F" w:rsidP="00A01D94">
      <w:pPr>
        <w:jc w:val="both"/>
        <w:rPr>
          <w:iCs/>
        </w:rPr>
      </w:pPr>
      <w:r w:rsidRPr="0051546F">
        <w:t>2</w:t>
      </w:r>
      <w:r w:rsidR="00A01D94" w:rsidRPr="0051546F">
        <w:t xml:space="preserve">. </w:t>
      </w:r>
      <w:r w:rsidR="00780935">
        <w:t xml:space="preserve"> </w:t>
      </w:r>
      <w:r w:rsidR="00A01D94" w:rsidRPr="0051546F">
        <w:t>МП «Развитие системы отдыха, оздоровления, занятости детей, подростков и молод</w:t>
      </w:r>
      <w:r w:rsidR="00AB39C4" w:rsidRPr="0051546F">
        <w:t>ё</w:t>
      </w:r>
      <w:r w:rsidR="00A01D94" w:rsidRPr="0051546F">
        <w:t>жи»</w:t>
      </w:r>
      <w:r w:rsidR="00A01D94" w:rsidRPr="0051546F">
        <w:rPr>
          <w:iCs/>
        </w:rPr>
        <w:t xml:space="preserve"> - ответственный исполнитель – комитет </w:t>
      </w:r>
      <w:r w:rsidR="00AB39C4" w:rsidRPr="0051546F">
        <w:rPr>
          <w:iCs/>
        </w:rPr>
        <w:t>по образованию</w:t>
      </w:r>
      <w:r w:rsidR="00A01D94" w:rsidRPr="0051546F">
        <w:rPr>
          <w:iCs/>
        </w:rPr>
        <w:t>;</w:t>
      </w:r>
    </w:p>
    <w:p w:rsidR="00780935" w:rsidRPr="00780935" w:rsidRDefault="00780935" w:rsidP="00A01D94">
      <w:pPr>
        <w:jc w:val="both"/>
        <w:rPr>
          <w:iCs/>
        </w:rPr>
      </w:pPr>
      <w:r>
        <w:rPr>
          <w:iCs/>
        </w:rPr>
        <w:t xml:space="preserve">3. МП </w:t>
      </w:r>
      <w:r w:rsidRPr="00780935">
        <w:rPr>
          <w:iCs/>
        </w:rPr>
        <w:t>«Социальная поддержка отдельных категорий граждан в Тихвинском районе» - ответственный исполнитель – комитет социальной защиты населения</w:t>
      </w:r>
      <w:r>
        <w:rPr>
          <w:iCs/>
        </w:rPr>
        <w:t>;</w:t>
      </w:r>
    </w:p>
    <w:p w:rsidR="00A01D94" w:rsidRPr="0051546F" w:rsidRDefault="00A77640" w:rsidP="00A01D94">
      <w:pPr>
        <w:pStyle w:val="a6"/>
        <w:spacing w:after="0"/>
        <w:jc w:val="both"/>
        <w:rPr>
          <w:iCs/>
        </w:rPr>
      </w:pPr>
      <w:r>
        <w:t>4</w:t>
      </w:r>
      <w:r w:rsidR="00A01D94" w:rsidRPr="0051546F">
        <w:t xml:space="preserve">. МП «Развитие физической культуры и спорта в Тихвинском районе» </w:t>
      </w:r>
      <w:r w:rsidR="00A01D94" w:rsidRPr="0051546F">
        <w:rPr>
          <w:iCs/>
        </w:rPr>
        <w:t>- ответственный исполнитель – комитет по культуре, спорту и молод</w:t>
      </w:r>
      <w:r w:rsidR="00A26017" w:rsidRPr="0051546F">
        <w:rPr>
          <w:iCs/>
        </w:rPr>
        <w:t>ё</w:t>
      </w:r>
      <w:r w:rsidR="00A01D94" w:rsidRPr="0051546F">
        <w:rPr>
          <w:iCs/>
        </w:rPr>
        <w:t>жной политике;</w:t>
      </w:r>
    </w:p>
    <w:p w:rsidR="000E155E" w:rsidRPr="0051546F" w:rsidRDefault="00A77640" w:rsidP="00A01D94">
      <w:pPr>
        <w:pStyle w:val="a6"/>
        <w:spacing w:after="0"/>
        <w:jc w:val="both"/>
      </w:pPr>
      <w:r>
        <w:t>5</w:t>
      </w:r>
      <w:r w:rsidR="00A01D94" w:rsidRPr="0051546F">
        <w:t xml:space="preserve">. </w:t>
      </w:r>
      <w:r w:rsidR="000E155E" w:rsidRPr="0051546F">
        <w:t>МП «Развитие сферы культуры в Тихвинском районе» - ответственный исполнитель – комитет по культуре, спорту и молодёжной политике;</w:t>
      </w:r>
    </w:p>
    <w:p w:rsidR="00EF6075" w:rsidRPr="0051546F" w:rsidRDefault="00A77640" w:rsidP="00A01D94">
      <w:pPr>
        <w:pStyle w:val="a6"/>
        <w:spacing w:after="0"/>
        <w:jc w:val="both"/>
      </w:pPr>
      <w:r>
        <w:t>6</w:t>
      </w:r>
      <w:r w:rsidR="000E155E" w:rsidRPr="0051546F">
        <w:t>.</w:t>
      </w:r>
      <w:r w:rsidR="00A01D94" w:rsidRPr="0051546F">
        <w:t>МП «Молод</w:t>
      </w:r>
      <w:r w:rsidR="00CB5163" w:rsidRPr="0051546F">
        <w:t>ё</w:t>
      </w:r>
      <w:r w:rsidR="00A01D94" w:rsidRPr="0051546F">
        <w:t>жь Тихвинского района» – комитет по культуре, спорту и молод</w:t>
      </w:r>
      <w:r w:rsidR="0038599F" w:rsidRPr="0051546F">
        <w:t>ё</w:t>
      </w:r>
      <w:r w:rsidR="00A01D94" w:rsidRPr="0051546F">
        <w:t>жной политике;</w:t>
      </w:r>
    </w:p>
    <w:p w:rsidR="00066384" w:rsidRPr="0051546F" w:rsidRDefault="00A77640" w:rsidP="00066384">
      <w:pPr>
        <w:jc w:val="both"/>
      </w:pPr>
      <w:r>
        <w:t>7</w:t>
      </w:r>
      <w:r w:rsidR="00066384" w:rsidRPr="0051546F">
        <w:t xml:space="preserve">. </w:t>
      </w:r>
      <w:r w:rsidR="00066384" w:rsidRPr="0051546F">
        <w:rPr>
          <w:iCs/>
        </w:rPr>
        <w:t>МП «Развитие сельского хозяйства Тихвинского района»</w:t>
      </w:r>
      <w:r w:rsidR="00066384" w:rsidRPr="0051546F">
        <w:t xml:space="preserve"> </w:t>
      </w:r>
      <w:r w:rsidR="00066384" w:rsidRPr="0051546F">
        <w:rPr>
          <w:iCs/>
        </w:rPr>
        <w:t>- ответственный исполнитель – отдел по развитию АПК;</w:t>
      </w:r>
    </w:p>
    <w:p w:rsidR="005C08CE" w:rsidRPr="0051546F" w:rsidRDefault="00A77640" w:rsidP="005C08CE">
      <w:pPr>
        <w:jc w:val="both"/>
      </w:pPr>
      <w:r>
        <w:t>8</w:t>
      </w:r>
      <w:r w:rsidR="005C08CE" w:rsidRPr="0051546F">
        <w:t xml:space="preserve">. МП «Безопасность Тихвинского района» - ответственный исполнитель – отдел </w:t>
      </w:r>
      <w:r w:rsidR="00D17C08" w:rsidRPr="0051546F">
        <w:rPr>
          <w:sz w:val="23"/>
          <w:szCs w:val="23"/>
        </w:rPr>
        <w:t>безопасности и мобилизационной подготовки</w:t>
      </w:r>
      <w:r w:rsidR="005C08CE" w:rsidRPr="0051546F">
        <w:t>;</w:t>
      </w:r>
    </w:p>
    <w:p w:rsidR="00A01D94" w:rsidRPr="0051546F" w:rsidRDefault="00A77640" w:rsidP="00A01D94">
      <w:pPr>
        <w:jc w:val="both"/>
      </w:pPr>
      <w:r>
        <w:t>9</w:t>
      </w:r>
      <w:r w:rsidR="00A01D94" w:rsidRPr="0051546F">
        <w:t xml:space="preserve">. МП «Стимулирование экономической активности Тихвинского района» - ответственный исполнитель – комитет по экономике и инвестициям; </w:t>
      </w:r>
    </w:p>
    <w:p w:rsidR="00393A03" w:rsidRPr="0051546F" w:rsidRDefault="00A77640" w:rsidP="00D71C61">
      <w:pPr>
        <w:jc w:val="both"/>
      </w:pPr>
      <w:r>
        <w:t>10</w:t>
      </w:r>
      <w:r w:rsidR="00C45F46" w:rsidRPr="0051546F">
        <w:t>.</w:t>
      </w:r>
      <w:r w:rsidR="000E155E" w:rsidRPr="0051546F">
        <w:t xml:space="preserve"> «Устойчивое общественное развитие в Тихвинском районе», ответственный исполнитель – организационный отдел;</w:t>
      </w:r>
    </w:p>
    <w:p w:rsidR="00155183" w:rsidRPr="0051546F" w:rsidRDefault="00155183" w:rsidP="00393A03">
      <w:pPr>
        <w:pStyle w:val="a6"/>
        <w:spacing w:after="0"/>
        <w:jc w:val="both"/>
      </w:pPr>
      <w:r w:rsidRPr="0051546F">
        <w:t>1</w:t>
      </w:r>
      <w:r w:rsidR="00A77640">
        <w:t>1</w:t>
      </w:r>
      <w:r w:rsidRPr="0051546F">
        <w:t>.</w:t>
      </w:r>
      <w:r w:rsidR="000E155E" w:rsidRPr="0051546F">
        <w:t xml:space="preserve"> МП «Обеспечение устойчивого функционирования коммунальной и инженерной инфраструктуры в Тихвинском районе» - ответственный исполнитель – комитет жилищно-коммунального хозяйства.</w:t>
      </w:r>
      <w:r w:rsidRPr="0051546F">
        <w:t xml:space="preserve"> </w:t>
      </w:r>
    </w:p>
    <w:p w:rsidR="00331321" w:rsidRPr="0051546F" w:rsidRDefault="00331321" w:rsidP="00331321">
      <w:pPr>
        <w:pStyle w:val="a6"/>
        <w:spacing w:after="0"/>
        <w:jc w:val="both"/>
      </w:pPr>
      <w:r w:rsidRPr="0051546F">
        <w:t>1</w:t>
      </w:r>
      <w:r w:rsidR="00A77640">
        <w:t>2</w:t>
      </w:r>
      <w:r w:rsidRPr="0051546F">
        <w:t>.</w:t>
      </w:r>
      <w:r w:rsidR="00011476" w:rsidRPr="0051546F">
        <w:t xml:space="preserve"> </w:t>
      </w:r>
      <w:r w:rsidR="000E155E" w:rsidRPr="0051546F">
        <w:t>МП «Развитие сети автомобильных дорог Тихвинского района» - ответственный исполнитель – комитет жилищно-коммунального хозяйства.</w:t>
      </w:r>
    </w:p>
    <w:p w:rsidR="00DE63D5" w:rsidRPr="00780935" w:rsidRDefault="000E155E" w:rsidP="00780935">
      <w:pPr>
        <w:pStyle w:val="a6"/>
        <w:spacing w:after="0"/>
        <w:jc w:val="both"/>
      </w:pPr>
      <w:r w:rsidRPr="0051546F">
        <w:t>1</w:t>
      </w:r>
      <w:r w:rsidR="00A77640">
        <w:t>3</w:t>
      </w:r>
      <w:r w:rsidRPr="0051546F">
        <w:t>. «Управление муниципальными финансами и муниципальным долгом Тихвинского района», ответственный исполнитель – комитет финансов.</w:t>
      </w:r>
    </w:p>
    <w:p w:rsidR="00587998" w:rsidRPr="0051546F" w:rsidRDefault="00587998" w:rsidP="009D0DDF">
      <w:pPr>
        <w:ind w:firstLine="567"/>
        <w:jc w:val="both"/>
        <w:rPr>
          <w:b/>
        </w:rPr>
      </w:pPr>
    </w:p>
    <w:p w:rsidR="00E76360" w:rsidRPr="0051546F" w:rsidRDefault="00E76360" w:rsidP="008C0AA1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51546F">
        <w:rPr>
          <w:b/>
          <w:bCs/>
        </w:rPr>
        <w:t xml:space="preserve">Признать степень </w:t>
      </w:r>
      <w:r w:rsidRPr="0051546F">
        <w:rPr>
          <w:b/>
        </w:rPr>
        <w:t>эффективности</w:t>
      </w:r>
      <w:r w:rsidRPr="0051546F">
        <w:rPr>
          <w:b/>
          <w:bCs/>
        </w:rPr>
        <w:t xml:space="preserve"> выполнения программы неудовлетворительной:</w:t>
      </w:r>
    </w:p>
    <w:p w:rsidR="00275670" w:rsidRPr="0051546F" w:rsidRDefault="00275670" w:rsidP="00275670">
      <w:pPr>
        <w:jc w:val="both"/>
      </w:pPr>
    </w:p>
    <w:p w:rsidR="004D0AAB" w:rsidRPr="0051546F" w:rsidRDefault="000E155E" w:rsidP="000E155E">
      <w:pPr>
        <w:pStyle w:val="a6"/>
        <w:spacing w:after="0"/>
        <w:jc w:val="both"/>
        <w:rPr>
          <w:u w:val="single"/>
        </w:rPr>
      </w:pPr>
      <w:r w:rsidRPr="0051546F">
        <w:rPr>
          <w:u w:val="single"/>
        </w:rPr>
        <w:t>1.</w:t>
      </w:r>
      <w:r w:rsidR="00B41D20" w:rsidRPr="0051546F">
        <w:rPr>
          <w:u w:val="single"/>
        </w:rPr>
        <w:t>МП</w:t>
      </w:r>
      <w:r w:rsidR="00B41D20" w:rsidRPr="0051546F">
        <w:rPr>
          <w:b/>
          <w:u w:val="single"/>
        </w:rPr>
        <w:t xml:space="preserve"> </w:t>
      </w:r>
      <w:r w:rsidR="00890BAC" w:rsidRPr="0051546F">
        <w:rPr>
          <w:b/>
          <w:u w:val="single"/>
        </w:rPr>
        <w:t>«</w:t>
      </w:r>
      <w:r w:rsidR="00890BAC" w:rsidRPr="0051546F">
        <w:rPr>
          <w:u w:val="single"/>
        </w:rPr>
        <w:t>Муниципальное имущество, земельные ресурсы Тихвинского района</w:t>
      </w:r>
      <w:r w:rsidR="00890BAC" w:rsidRPr="0051546F">
        <w:rPr>
          <w:b/>
          <w:u w:val="single"/>
        </w:rPr>
        <w:t>»</w:t>
      </w:r>
      <w:r w:rsidR="000E2EBA" w:rsidRPr="0051546F">
        <w:rPr>
          <w:b/>
          <w:u w:val="single"/>
        </w:rPr>
        <w:t xml:space="preserve"> - </w:t>
      </w:r>
      <w:r w:rsidR="00890BAC" w:rsidRPr="0051546F">
        <w:rPr>
          <w:iCs/>
          <w:u w:val="single"/>
        </w:rPr>
        <w:t>ответственный исполнитель – комитет по упра</w:t>
      </w:r>
      <w:r w:rsidR="00C02F8F" w:rsidRPr="0051546F">
        <w:rPr>
          <w:iCs/>
          <w:u w:val="single"/>
        </w:rPr>
        <w:t>влению муниципальным имуществом</w:t>
      </w:r>
      <w:r w:rsidR="00157355" w:rsidRPr="0051546F">
        <w:rPr>
          <w:iCs/>
          <w:u w:val="single"/>
        </w:rPr>
        <w:t xml:space="preserve"> и градостроительству</w:t>
      </w:r>
      <w:r w:rsidR="00C02F8F" w:rsidRPr="0051546F">
        <w:rPr>
          <w:iCs/>
          <w:u w:val="single"/>
        </w:rPr>
        <w:t>.</w:t>
      </w:r>
      <w:r w:rsidR="004D0AAB" w:rsidRPr="0051546F">
        <w:t xml:space="preserve"> </w:t>
      </w:r>
    </w:p>
    <w:p w:rsidR="00890BAC" w:rsidRPr="0051546F" w:rsidRDefault="004D0AAB" w:rsidP="000E155E">
      <w:pPr>
        <w:ind w:firstLine="567"/>
        <w:jc w:val="both"/>
        <w:rPr>
          <w:color w:val="FF0000"/>
        </w:rPr>
      </w:pPr>
      <w:r w:rsidRPr="0051546F">
        <w:rPr>
          <w:iCs/>
        </w:rPr>
        <w:t xml:space="preserve">   </w:t>
      </w:r>
      <w:r w:rsidR="00890BAC" w:rsidRPr="0051546F">
        <w:rPr>
          <w:b/>
          <w:i/>
        </w:rPr>
        <w:t xml:space="preserve">Уровень финансирования реализации основных мероприятий муниципальной программы </w:t>
      </w:r>
      <w:r w:rsidR="00F33C40" w:rsidRPr="0051546F">
        <w:rPr>
          <w:b/>
          <w:i/>
        </w:rPr>
        <w:t xml:space="preserve">– </w:t>
      </w:r>
      <w:r w:rsidR="00F33C40" w:rsidRPr="0051546F">
        <w:rPr>
          <w:b/>
        </w:rPr>
        <w:t>&lt;</w:t>
      </w:r>
      <w:r w:rsidR="00E846B9" w:rsidRPr="0051546F">
        <w:rPr>
          <w:b/>
        </w:rPr>
        <w:t>80</w:t>
      </w:r>
      <w:r w:rsidR="00841C24" w:rsidRPr="0051546F">
        <w:rPr>
          <w:b/>
        </w:rPr>
        <w:t>%.</w:t>
      </w:r>
    </w:p>
    <w:p w:rsidR="003756B2" w:rsidRPr="0051546F" w:rsidRDefault="00F97743" w:rsidP="00F97743">
      <w:pPr>
        <w:ind w:firstLine="567"/>
        <w:jc w:val="both"/>
      </w:pPr>
      <w:r w:rsidRPr="0051546F">
        <w:t>Объ</w:t>
      </w:r>
      <w:r w:rsidR="00431818" w:rsidRPr="0051546F">
        <w:t>ё</w:t>
      </w:r>
      <w:r w:rsidRPr="0051546F">
        <w:t xml:space="preserve">м финансовых ресурсов, затраченных на реализацию программы составил </w:t>
      </w:r>
      <w:r w:rsidR="00734370" w:rsidRPr="0051546F">
        <w:t>1030</w:t>
      </w:r>
      <w:r w:rsidRPr="0051546F">
        <w:t xml:space="preserve"> тыс. руб. при плановом объ</w:t>
      </w:r>
      <w:r w:rsidR="00431818" w:rsidRPr="0051546F">
        <w:t>ё</w:t>
      </w:r>
      <w:r w:rsidRPr="0051546F">
        <w:t xml:space="preserve">ме </w:t>
      </w:r>
      <w:r w:rsidR="00734370" w:rsidRPr="0051546F">
        <w:t>1456,54</w:t>
      </w:r>
      <w:r w:rsidRPr="0051546F">
        <w:t xml:space="preserve"> тыс. руб. (</w:t>
      </w:r>
      <w:r w:rsidR="00431818" w:rsidRPr="0051546F">
        <w:t>7</w:t>
      </w:r>
      <w:r w:rsidR="00734370" w:rsidRPr="0051546F">
        <w:t>0,7</w:t>
      </w:r>
      <w:r w:rsidRPr="0051546F">
        <w:t>%)</w:t>
      </w:r>
      <w:r w:rsidR="00431818" w:rsidRPr="0051546F">
        <w:t>.</w:t>
      </w:r>
      <w:r w:rsidRPr="0051546F">
        <w:t xml:space="preserve">   </w:t>
      </w:r>
    </w:p>
    <w:p w:rsidR="00791C0B" w:rsidRPr="0051546F" w:rsidRDefault="00F97743" w:rsidP="00791C0B">
      <w:pPr>
        <w:ind w:firstLine="567"/>
        <w:jc w:val="both"/>
        <w:rPr>
          <w:b/>
          <w:bdr w:val="none" w:sz="0" w:space="0" w:color="auto" w:frame="1"/>
        </w:rPr>
      </w:pPr>
      <w:r w:rsidRPr="0051546F">
        <w:rPr>
          <w:b/>
          <w:bdr w:val="none" w:sz="0" w:space="0" w:color="auto" w:frame="1"/>
        </w:rPr>
        <w:t xml:space="preserve"> </w:t>
      </w:r>
      <w:r w:rsidR="00FE1AFC" w:rsidRPr="0051546F">
        <w:rPr>
          <w:b/>
          <w:bdr w:val="none" w:sz="0" w:space="0" w:color="auto" w:frame="1"/>
        </w:rPr>
        <w:t>Причина:</w:t>
      </w:r>
    </w:p>
    <w:p w:rsidR="00791C0B" w:rsidRPr="0051546F" w:rsidRDefault="00791C0B" w:rsidP="00791C0B">
      <w:pPr>
        <w:ind w:firstLine="567"/>
        <w:jc w:val="both"/>
      </w:pPr>
      <w:r w:rsidRPr="0051546F">
        <w:t xml:space="preserve">Планируемый объем финансирования на реализацию мероприятий программы в 2023 году составил 1456,54 тыс. руб., фактический объем финансирования, направленный на реализацию мероприятий подпрограммы – </w:t>
      </w:r>
      <w:r w:rsidR="004D0AAB" w:rsidRPr="0051546F">
        <w:t>1030</w:t>
      </w:r>
      <w:r w:rsidRPr="0051546F">
        <w:t xml:space="preserve"> тыс. руб. Финансирование муниципальной программы исполнено на 70,7% по следующим основаниям:</w:t>
      </w:r>
    </w:p>
    <w:p w:rsidR="00791C0B" w:rsidRPr="0051546F" w:rsidRDefault="00791C0B" w:rsidP="00791C0B">
      <w:pPr>
        <w:ind w:firstLine="567"/>
        <w:jc w:val="both"/>
      </w:pPr>
      <w:r w:rsidRPr="0051546F">
        <w:t>1.</w:t>
      </w:r>
      <w:r w:rsidR="004D0AAB" w:rsidRPr="0051546F">
        <w:t> </w:t>
      </w:r>
      <w:r w:rsidRPr="0051546F">
        <w:t>прекращение обязательств по договору на выполнение кадастровых работ и технической инвентаризации на 2,2 тыс. рублей;</w:t>
      </w:r>
    </w:p>
    <w:p w:rsidR="00791C0B" w:rsidRPr="0051546F" w:rsidRDefault="00791C0B" w:rsidP="00791C0B">
      <w:pPr>
        <w:ind w:firstLine="567"/>
        <w:jc w:val="both"/>
      </w:pPr>
      <w:r w:rsidRPr="0051546F">
        <w:t>2.</w:t>
      </w:r>
      <w:r w:rsidR="004D0AAB" w:rsidRPr="0051546F">
        <w:t> </w:t>
      </w:r>
      <w:r w:rsidRPr="0051546F">
        <w:t xml:space="preserve">расторжение в одностороннем порядке муниципального контракта №01453000096230002590001 на постановку на государственный кадастровый учет земельных участков под автомобильными дорогами общего пользования местного </w:t>
      </w:r>
      <w:r w:rsidRPr="0051546F">
        <w:lastRenderedPageBreak/>
        <w:t xml:space="preserve">значения по причине нарушения условий контракта (неисполнения работ) со стороны Исполнителя. </w:t>
      </w:r>
      <w:bookmarkStart w:id="0" w:name="_GoBack"/>
      <w:bookmarkEnd w:id="0"/>
    </w:p>
    <w:p w:rsidR="0016725F" w:rsidRPr="0051546F" w:rsidRDefault="004D0AAB" w:rsidP="000E155E">
      <w:pPr>
        <w:ind w:firstLine="567"/>
        <w:jc w:val="both"/>
      </w:pPr>
      <w:r w:rsidRPr="0051546F">
        <w:t>Уровень достижения показателей – ≥95% (95,7%).</w:t>
      </w:r>
    </w:p>
    <w:p w:rsidR="000317D4" w:rsidRPr="0051546F" w:rsidRDefault="00331321" w:rsidP="000E155E">
      <w:pPr>
        <w:jc w:val="both"/>
        <w:rPr>
          <w:bCs/>
          <w:u w:val="single"/>
        </w:rPr>
      </w:pPr>
      <w:r w:rsidRPr="0051546F">
        <w:rPr>
          <w:u w:val="single"/>
        </w:rPr>
        <w:t>2</w:t>
      </w:r>
      <w:r w:rsidR="000317D4" w:rsidRPr="0051546F">
        <w:rPr>
          <w:u w:val="single"/>
        </w:rPr>
        <w:t xml:space="preserve">. </w:t>
      </w:r>
      <w:r w:rsidR="00B41D20" w:rsidRPr="0051546F">
        <w:rPr>
          <w:u w:val="single"/>
        </w:rPr>
        <w:t xml:space="preserve">МП </w:t>
      </w:r>
      <w:r w:rsidR="000317D4" w:rsidRPr="0051546F">
        <w:rPr>
          <w:bCs/>
          <w:u w:val="single"/>
        </w:rPr>
        <w:t xml:space="preserve">«Архитектура и </w:t>
      </w:r>
      <w:r w:rsidR="00223BF0" w:rsidRPr="0051546F">
        <w:rPr>
          <w:bCs/>
          <w:u w:val="single"/>
        </w:rPr>
        <w:t>градостроительство</w:t>
      </w:r>
      <w:r w:rsidR="000317D4" w:rsidRPr="0051546F">
        <w:rPr>
          <w:bCs/>
          <w:u w:val="single"/>
        </w:rPr>
        <w:t xml:space="preserve"> в Тихвинском районе»</w:t>
      </w:r>
      <w:r w:rsidR="000E2EBA" w:rsidRPr="0051546F">
        <w:rPr>
          <w:bCs/>
          <w:u w:val="single"/>
        </w:rPr>
        <w:t xml:space="preserve"> - </w:t>
      </w:r>
      <w:r w:rsidR="000317D4" w:rsidRPr="0051546F">
        <w:rPr>
          <w:iCs/>
          <w:u w:val="single"/>
        </w:rPr>
        <w:t xml:space="preserve">ответственный исполнитель – отдел </w:t>
      </w:r>
      <w:r w:rsidR="00C02F8F" w:rsidRPr="0051546F">
        <w:rPr>
          <w:iCs/>
          <w:u w:val="single"/>
        </w:rPr>
        <w:t>архитектуры.</w:t>
      </w:r>
    </w:p>
    <w:p w:rsidR="00A36CB1" w:rsidRPr="0051546F" w:rsidRDefault="000317D4" w:rsidP="00A36CB1">
      <w:pPr>
        <w:ind w:firstLine="567"/>
        <w:jc w:val="both"/>
      </w:pPr>
      <w:r w:rsidRPr="0051546F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="00A36CB1" w:rsidRPr="0051546F">
        <w:rPr>
          <w:b/>
        </w:rPr>
        <w:t>&lt;80%.</w:t>
      </w:r>
    </w:p>
    <w:p w:rsidR="000E2EBA" w:rsidRPr="0051546F" w:rsidRDefault="000E2EBA" w:rsidP="000E2EBA">
      <w:pPr>
        <w:ind w:firstLine="567"/>
        <w:jc w:val="both"/>
      </w:pPr>
      <w:r w:rsidRPr="0051546F">
        <w:t>Объ</w:t>
      </w:r>
      <w:r w:rsidR="0087788E" w:rsidRPr="0051546F">
        <w:t>ё</w:t>
      </w:r>
      <w:r w:rsidRPr="0051546F">
        <w:t xml:space="preserve">м финансовых ресурсов, затраченных на реализацию программы составил </w:t>
      </w:r>
      <w:r w:rsidR="0087788E" w:rsidRPr="0051546F">
        <w:t xml:space="preserve">           </w:t>
      </w:r>
      <w:r w:rsidR="00425303" w:rsidRPr="0051546F">
        <w:t>345,3</w:t>
      </w:r>
      <w:r w:rsidRPr="0051546F">
        <w:t xml:space="preserve"> тыс. руб. при плановом объ</w:t>
      </w:r>
      <w:r w:rsidR="0087788E" w:rsidRPr="0051546F">
        <w:t>ё</w:t>
      </w:r>
      <w:r w:rsidRPr="0051546F">
        <w:t xml:space="preserve">ме </w:t>
      </w:r>
      <w:r w:rsidR="0087788E" w:rsidRPr="0051546F">
        <w:t>1</w:t>
      </w:r>
      <w:r w:rsidR="00425303" w:rsidRPr="0051546F">
        <w:t> 068,0</w:t>
      </w:r>
      <w:r w:rsidRPr="0051546F">
        <w:t xml:space="preserve"> тыс. руб.  (</w:t>
      </w:r>
      <w:r w:rsidR="00425303" w:rsidRPr="0051546F">
        <w:t>32,3</w:t>
      </w:r>
      <w:r w:rsidRPr="0051546F">
        <w:t xml:space="preserve">%)  </w:t>
      </w:r>
      <w:r w:rsidRPr="0051546F">
        <w:rPr>
          <w:bdr w:val="none" w:sz="0" w:space="0" w:color="auto" w:frame="1"/>
        </w:rPr>
        <w:t xml:space="preserve"> </w:t>
      </w:r>
    </w:p>
    <w:p w:rsidR="002C6051" w:rsidRPr="0051546F" w:rsidRDefault="00F9685C" w:rsidP="002C6051">
      <w:pPr>
        <w:tabs>
          <w:tab w:val="center" w:pos="4677"/>
        </w:tabs>
        <w:ind w:firstLine="567"/>
        <w:jc w:val="both"/>
      </w:pPr>
      <w:r w:rsidRPr="0051546F">
        <w:rPr>
          <w:b/>
        </w:rPr>
        <w:t>Причина:</w:t>
      </w:r>
      <w:r w:rsidR="000317D4" w:rsidRPr="0051546F">
        <w:t xml:space="preserve"> </w:t>
      </w:r>
    </w:p>
    <w:p w:rsidR="00425303" w:rsidRPr="0051546F" w:rsidRDefault="00425303" w:rsidP="00425303">
      <w:pPr>
        <w:ind w:firstLine="567"/>
        <w:jc w:val="both"/>
      </w:pPr>
      <w:r w:rsidRPr="0051546F">
        <w:t>Низкие значения показателей «Уровень эффективности программы по целевым индикаторам» и «Уровень финансирования реализации основных мероприятий муниципальной программы» обусловлены задержкой сроков исполнения контрактов по проектам генеральных планов сельских поселений. Это произошло по независящим от сторон причинам, в связи с участием в согласовании документации третьих лиц (Правительства Ленинградской области, Правительства Российской Федерации).</w:t>
      </w:r>
    </w:p>
    <w:p w:rsidR="00425303" w:rsidRPr="0051546F" w:rsidRDefault="00425303" w:rsidP="00425303">
      <w:pPr>
        <w:ind w:firstLine="567"/>
        <w:jc w:val="both"/>
      </w:pPr>
      <w:r w:rsidRPr="0051546F">
        <w:t>Изменения по целевым индикаторам и плановым показателям финансирования в муниципальную программу не внесены.</w:t>
      </w:r>
    </w:p>
    <w:p w:rsidR="00F81E1B" w:rsidRPr="0051546F" w:rsidRDefault="00F81E1B" w:rsidP="00425303">
      <w:pPr>
        <w:ind w:firstLine="567"/>
        <w:jc w:val="both"/>
      </w:pPr>
      <w:r w:rsidRPr="0051546F">
        <w:rPr>
          <w:b/>
          <w:i/>
        </w:rPr>
        <w:t xml:space="preserve">Уровень достижения показателей – </w:t>
      </w:r>
      <w:r w:rsidRPr="0051546F">
        <w:rPr>
          <w:b/>
        </w:rPr>
        <w:t>&lt;80%.</w:t>
      </w:r>
      <w:r w:rsidR="002F1A14">
        <w:rPr>
          <w:b/>
        </w:rPr>
        <w:t xml:space="preserve"> (64,3%)</w:t>
      </w:r>
    </w:p>
    <w:p w:rsidR="000E155E" w:rsidRPr="0051546F" w:rsidRDefault="00F81E1B" w:rsidP="00F81E1B">
      <w:pPr>
        <w:ind w:firstLine="567"/>
        <w:jc w:val="both"/>
        <w:rPr>
          <w:bCs/>
        </w:rPr>
      </w:pPr>
      <w:r w:rsidRPr="0051546F">
        <w:t>Не д</w:t>
      </w:r>
      <w:r w:rsidRPr="0051546F">
        <w:rPr>
          <w:bCs/>
        </w:rPr>
        <w:t>остигнут</w:t>
      </w:r>
      <w:r w:rsidR="003F3FE5" w:rsidRPr="0051546F">
        <w:rPr>
          <w:bCs/>
        </w:rPr>
        <w:t xml:space="preserve"> </w:t>
      </w:r>
      <w:r w:rsidR="006E4857" w:rsidRPr="0051546F">
        <w:rPr>
          <w:bCs/>
        </w:rPr>
        <w:t>1</w:t>
      </w:r>
      <w:r w:rsidRPr="0051546F">
        <w:rPr>
          <w:bCs/>
        </w:rPr>
        <w:t xml:space="preserve"> из </w:t>
      </w:r>
      <w:r w:rsidR="00425303" w:rsidRPr="0051546F">
        <w:rPr>
          <w:bCs/>
        </w:rPr>
        <w:t>2</w:t>
      </w:r>
      <w:r w:rsidRPr="0051546F">
        <w:rPr>
          <w:bCs/>
        </w:rPr>
        <w:t xml:space="preserve"> показателей (индикаторов) программы.</w:t>
      </w:r>
    </w:p>
    <w:p w:rsidR="00F81E1B" w:rsidRPr="0051546F" w:rsidRDefault="000E155E" w:rsidP="000E155E">
      <w:pPr>
        <w:jc w:val="both"/>
      </w:pPr>
      <w:r w:rsidRPr="00B411A7">
        <w:rPr>
          <w:bCs/>
        </w:rPr>
        <w:t xml:space="preserve">3. </w:t>
      </w:r>
      <w:r w:rsidRPr="0051546F">
        <w:rPr>
          <w:bCs/>
          <w:u w:val="single"/>
        </w:rPr>
        <w:t>Охрана окружающей среды Тихвинского района</w:t>
      </w:r>
      <w:r w:rsidR="00B411A7">
        <w:rPr>
          <w:bCs/>
          <w:u w:val="single"/>
        </w:rPr>
        <w:t xml:space="preserve"> </w:t>
      </w:r>
      <w:r w:rsidRPr="0051546F">
        <w:rPr>
          <w:bCs/>
        </w:rPr>
        <w:t>- ответственный исполнитель – комитет по экономике и инвестициям</w:t>
      </w:r>
      <w:r w:rsidR="00F81E1B" w:rsidRPr="0051546F">
        <w:rPr>
          <w:bCs/>
        </w:rPr>
        <w:t xml:space="preserve"> </w:t>
      </w:r>
    </w:p>
    <w:p w:rsidR="000E155E" w:rsidRPr="0051546F" w:rsidRDefault="00273E50" w:rsidP="000E155E">
      <w:pPr>
        <w:jc w:val="both"/>
        <w:rPr>
          <w:b/>
          <w:i/>
        </w:rPr>
      </w:pPr>
      <w:r w:rsidRPr="0051546F">
        <w:rPr>
          <w:b/>
        </w:rPr>
        <w:t xml:space="preserve"> </w:t>
      </w:r>
      <w:r w:rsidR="00432CCA" w:rsidRPr="0051546F">
        <w:rPr>
          <w:b/>
        </w:rPr>
        <w:t xml:space="preserve">  </w:t>
      </w:r>
      <w:r w:rsidR="000E155E" w:rsidRPr="0051546F">
        <w:rPr>
          <w:b/>
        </w:rPr>
        <w:t xml:space="preserve">      </w:t>
      </w:r>
      <w:r w:rsidR="000E155E" w:rsidRPr="0051546F">
        <w:rPr>
          <w:b/>
          <w:i/>
        </w:rPr>
        <w:t>Уровень финансирования реализации основных мероприятий муниципальной программы – &lt;80%.</w:t>
      </w:r>
    </w:p>
    <w:p w:rsidR="000E155E" w:rsidRPr="0051546F" w:rsidRDefault="000E155E" w:rsidP="000E155E">
      <w:pPr>
        <w:jc w:val="both"/>
      </w:pPr>
      <w:r w:rsidRPr="0051546F">
        <w:t xml:space="preserve">         Объём финансовых ресурсов, затраченных на реализацию программы составил                3 790,6 тыс. руб. при плановом объёме 5 347,4 тыс. руб.  (70,9%)   </w:t>
      </w:r>
    </w:p>
    <w:p w:rsidR="00427FD8" w:rsidRPr="0051546F" w:rsidRDefault="000E155E" w:rsidP="00427FD8">
      <w:pPr>
        <w:ind w:firstLine="708"/>
        <w:jc w:val="both"/>
        <w:rPr>
          <w:b/>
        </w:rPr>
      </w:pPr>
      <w:r w:rsidRPr="0051546F">
        <w:rPr>
          <w:b/>
        </w:rPr>
        <w:t>Причина</w:t>
      </w:r>
      <w:r w:rsidR="00427FD8" w:rsidRPr="0051546F">
        <w:rPr>
          <w:b/>
        </w:rPr>
        <w:t>:</w:t>
      </w:r>
    </w:p>
    <w:p w:rsidR="002C6051" w:rsidRPr="0051546F" w:rsidRDefault="00432CCA" w:rsidP="000E155E">
      <w:pPr>
        <w:jc w:val="both"/>
      </w:pPr>
      <w:r w:rsidRPr="0051546F">
        <w:t xml:space="preserve">   </w:t>
      </w:r>
      <w:r w:rsidR="00427FD8" w:rsidRPr="0051546F">
        <w:t xml:space="preserve">        Отклонение за счет снижения цены контрактов, а также сжатые агротехнические сроки для посадки древесных и кустарниковых растений. </w:t>
      </w:r>
    </w:p>
    <w:p w:rsidR="00A77640" w:rsidRPr="00A77640" w:rsidRDefault="00A77640" w:rsidP="00A77640">
      <w:pPr>
        <w:ind w:firstLine="708"/>
        <w:jc w:val="both"/>
        <w:rPr>
          <w:b/>
          <w:i/>
        </w:rPr>
      </w:pPr>
      <w:r w:rsidRPr="00A77640">
        <w:rPr>
          <w:b/>
          <w:i/>
        </w:rPr>
        <w:t>Уровень достижения показателей – &lt;80% (54,6%)</w:t>
      </w:r>
    </w:p>
    <w:p w:rsidR="00427FD8" w:rsidRPr="00A77640" w:rsidRDefault="00A77640" w:rsidP="00A77640">
      <w:pPr>
        <w:jc w:val="both"/>
      </w:pPr>
      <w:r>
        <w:rPr>
          <w:b/>
          <w:i/>
        </w:rPr>
        <w:t xml:space="preserve">          </w:t>
      </w:r>
      <w:r w:rsidRPr="00A77640">
        <w:t>Не достигнут 3 из 5 показателей (индикаторов) программы</w:t>
      </w:r>
    </w:p>
    <w:p w:rsidR="00E76360" w:rsidRPr="0051546F" w:rsidRDefault="00E76360" w:rsidP="0053727D">
      <w:pPr>
        <w:jc w:val="both"/>
        <w:rPr>
          <w:b/>
        </w:rPr>
      </w:pPr>
      <w:r w:rsidRPr="0051546F">
        <w:rPr>
          <w:b/>
          <w:lang w:val="en-US"/>
        </w:rPr>
        <w:t>II</w:t>
      </w:r>
      <w:r w:rsidRPr="0051546F">
        <w:rPr>
          <w:b/>
        </w:rPr>
        <w:t>. Результаты оценки эффективности муниципальных программ Тихвинского района.</w:t>
      </w:r>
      <w:r w:rsidRPr="0051546F">
        <w:rPr>
          <w:rFonts w:ascii="Arial" w:hAnsi="Arial" w:cs="Arial"/>
          <w:b/>
        </w:rPr>
        <w:t xml:space="preserve"> </w:t>
      </w:r>
      <w:r w:rsidRPr="0051546F">
        <w:rPr>
          <w:b/>
        </w:rPr>
        <w:t xml:space="preserve"> </w:t>
      </w:r>
    </w:p>
    <w:p w:rsidR="00B41D20" w:rsidRPr="0051546F" w:rsidRDefault="00B41D20" w:rsidP="00C311AE">
      <w:pPr>
        <w:tabs>
          <w:tab w:val="left" w:pos="6225"/>
        </w:tabs>
        <w:spacing w:after="120"/>
        <w:ind w:firstLine="567"/>
        <w:jc w:val="both"/>
      </w:pPr>
    </w:p>
    <w:p w:rsidR="00E76360" w:rsidRPr="0051546F" w:rsidRDefault="00E76360" w:rsidP="00C311AE">
      <w:pPr>
        <w:tabs>
          <w:tab w:val="left" w:pos="6225"/>
        </w:tabs>
        <w:spacing w:after="120"/>
        <w:ind w:firstLine="567"/>
        <w:jc w:val="both"/>
      </w:pPr>
      <w:r w:rsidRPr="0051546F">
        <w:t xml:space="preserve">Результаты оценки по ответственным исполнителям  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2127"/>
        <w:gridCol w:w="2839"/>
      </w:tblGrid>
      <w:tr w:rsidR="00E76360" w:rsidRPr="0051546F" w:rsidTr="00BE37CD">
        <w:trPr>
          <w:trHeight w:val="545"/>
          <w:jc w:val="center"/>
        </w:trPr>
        <w:tc>
          <w:tcPr>
            <w:tcW w:w="4531" w:type="dxa"/>
            <w:vAlign w:val="center"/>
          </w:tcPr>
          <w:p w:rsidR="00E76360" w:rsidRPr="0051546F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Ответственный исполнитель</w:t>
            </w:r>
          </w:p>
        </w:tc>
        <w:tc>
          <w:tcPr>
            <w:tcW w:w="2127" w:type="dxa"/>
            <w:vAlign w:val="center"/>
          </w:tcPr>
          <w:p w:rsidR="00E76360" w:rsidRPr="0051546F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Число программ,</w:t>
            </w:r>
          </w:p>
          <w:p w:rsidR="00E76360" w:rsidRPr="0051546F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ед.</w:t>
            </w:r>
          </w:p>
        </w:tc>
        <w:tc>
          <w:tcPr>
            <w:tcW w:w="2839" w:type="dxa"/>
            <w:vAlign w:val="center"/>
          </w:tcPr>
          <w:p w:rsidR="00E76360" w:rsidRPr="0051546F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Значение уровня эффективности</w:t>
            </w:r>
          </w:p>
        </w:tc>
      </w:tr>
      <w:tr w:rsidR="0097157D" w:rsidRPr="0051546F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97157D" w:rsidRPr="0051546F" w:rsidRDefault="0097157D" w:rsidP="00507214">
            <w:pPr>
              <w:tabs>
                <w:tab w:val="left" w:pos="6225"/>
              </w:tabs>
            </w:pPr>
            <w:r w:rsidRPr="0051546F">
              <w:t>Комитет образования</w:t>
            </w:r>
          </w:p>
        </w:tc>
        <w:tc>
          <w:tcPr>
            <w:tcW w:w="2127" w:type="dxa"/>
            <w:vAlign w:val="center"/>
          </w:tcPr>
          <w:p w:rsidR="007353E9" w:rsidRPr="0051546F" w:rsidRDefault="001F1A03" w:rsidP="00507214">
            <w:pPr>
              <w:tabs>
                <w:tab w:val="left" w:pos="6225"/>
              </w:tabs>
              <w:jc w:val="center"/>
            </w:pPr>
            <w:r w:rsidRPr="0051546F">
              <w:t>2</w:t>
            </w:r>
          </w:p>
        </w:tc>
        <w:tc>
          <w:tcPr>
            <w:tcW w:w="2839" w:type="dxa"/>
            <w:vAlign w:val="center"/>
          </w:tcPr>
          <w:p w:rsidR="0097157D" w:rsidRPr="0051546F" w:rsidRDefault="007353E9" w:rsidP="00507214">
            <w:pPr>
              <w:tabs>
                <w:tab w:val="left" w:pos="6225"/>
              </w:tabs>
              <w:jc w:val="center"/>
            </w:pPr>
            <w:r w:rsidRPr="0051546F">
              <w:t>в</w:t>
            </w:r>
            <w:r w:rsidR="0097157D" w:rsidRPr="0051546F">
              <w:t>ысокий</w:t>
            </w:r>
          </w:p>
          <w:p w:rsidR="007353E9" w:rsidRPr="0051546F" w:rsidRDefault="001F1A03" w:rsidP="00507214">
            <w:pPr>
              <w:tabs>
                <w:tab w:val="left" w:pos="6225"/>
              </w:tabs>
              <w:jc w:val="center"/>
            </w:pPr>
            <w:r w:rsidRPr="0051546F">
              <w:t xml:space="preserve"> </w:t>
            </w:r>
          </w:p>
        </w:tc>
      </w:tr>
      <w:tr w:rsidR="0097157D" w:rsidRPr="0051546F" w:rsidTr="00A06E71">
        <w:trPr>
          <w:trHeight w:val="439"/>
          <w:jc w:val="center"/>
        </w:trPr>
        <w:tc>
          <w:tcPr>
            <w:tcW w:w="4531" w:type="dxa"/>
            <w:vAlign w:val="center"/>
          </w:tcPr>
          <w:p w:rsidR="0097157D" w:rsidRPr="0051546F" w:rsidRDefault="00427FD8" w:rsidP="00507214">
            <w:pPr>
              <w:tabs>
                <w:tab w:val="left" w:pos="6225"/>
              </w:tabs>
            </w:pPr>
            <w:r w:rsidRPr="0051546F">
              <w:t>Комитет по культуре, спорту и молодёжной политике</w:t>
            </w:r>
          </w:p>
        </w:tc>
        <w:tc>
          <w:tcPr>
            <w:tcW w:w="2127" w:type="dxa"/>
            <w:vAlign w:val="center"/>
          </w:tcPr>
          <w:p w:rsidR="0083099E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>3</w:t>
            </w:r>
          </w:p>
        </w:tc>
        <w:tc>
          <w:tcPr>
            <w:tcW w:w="2839" w:type="dxa"/>
            <w:vAlign w:val="center"/>
          </w:tcPr>
          <w:p w:rsidR="0097157D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>высокий</w:t>
            </w:r>
          </w:p>
        </w:tc>
      </w:tr>
      <w:tr w:rsidR="0083099E" w:rsidRPr="0051546F" w:rsidTr="00BE37CD">
        <w:trPr>
          <w:trHeight w:val="680"/>
          <w:jc w:val="center"/>
        </w:trPr>
        <w:tc>
          <w:tcPr>
            <w:tcW w:w="4531" w:type="dxa"/>
            <w:vAlign w:val="center"/>
          </w:tcPr>
          <w:p w:rsidR="0083099E" w:rsidRPr="0051546F" w:rsidRDefault="00427FD8" w:rsidP="00AF5B0A">
            <w:pPr>
              <w:tabs>
                <w:tab w:val="left" w:pos="6225"/>
              </w:tabs>
            </w:pPr>
            <w:r w:rsidRPr="0051546F">
              <w:t>Отдел по развитию АПК</w:t>
            </w:r>
          </w:p>
        </w:tc>
        <w:tc>
          <w:tcPr>
            <w:tcW w:w="2127" w:type="dxa"/>
            <w:vAlign w:val="center"/>
          </w:tcPr>
          <w:p w:rsidR="000E2EBA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>1</w:t>
            </w:r>
          </w:p>
        </w:tc>
        <w:tc>
          <w:tcPr>
            <w:tcW w:w="2839" w:type="dxa"/>
            <w:vAlign w:val="center"/>
          </w:tcPr>
          <w:p w:rsidR="000E2EBA" w:rsidRPr="0051546F" w:rsidRDefault="00427FD8" w:rsidP="00427FD8">
            <w:pPr>
              <w:tabs>
                <w:tab w:val="left" w:pos="6225"/>
              </w:tabs>
              <w:jc w:val="center"/>
            </w:pPr>
            <w:r w:rsidRPr="0051546F">
              <w:t>высокий</w:t>
            </w:r>
          </w:p>
        </w:tc>
      </w:tr>
      <w:tr w:rsidR="00427FD8" w:rsidRPr="0051546F" w:rsidTr="006745C9">
        <w:trPr>
          <w:trHeight w:val="400"/>
          <w:jc w:val="center"/>
        </w:trPr>
        <w:tc>
          <w:tcPr>
            <w:tcW w:w="4531" w:type="dxa"/>
          </w:tcPr>
          <w:p w:rsidR="00427FD8" w:rsidRPr="0051546F" w:rsidRDefault="00427FD8" w:rsidP="00427FD8">
            <w:r w:rsidRPr="0051546F">
              <w:t>Отдел безопасности и мобилизационной подготовки</w:t>
            </w:r>
          </w:p>
        </w:tc>
        <w:tc>
          <w:tcPr>
            <w:tcW w:w="2127" w:type="dxa"/>
          </w:tcPr>
          <w:p w:rsidR="00427FD8" w:rsidRPr="0051546F" w:rsidRDefault="00427FD8" w:rsidP="00427FD8">
            <w:pPr>
              <w:jc w:val="center"/>
            </w:pPr>
            <w:r w:rsidRPr="0051546F">
              <w:t>1</w:t>
            </w:r>
          </w:p>
        </w:tc>
        <w:tc>
          <w:tcPr>
            <w:tcW w:w="2839" w:type="dxa"/>
          </w:tcPr>
          <w:p w:rsidR="00427FD8" w:rsidRPr="0051546F" w:rsidRDefault="00427FD8" w:rsidP="00427FD8">
            <w:pPr>
              <w:jc w:val="center"/>
            </w:pPr>
            <w:r w:rsidRPr="0051546F">
              <w:t>высокий</w:t>
            </w:r>
          </w:p>
        </w:tc>
      </w:tr>
      <w:tr w:rsidR="0083099E" w:rsidRPr="0051546F" w:rsidTr="00BE37CD">
        <w:trPr>
          <w:trHeight w:val="776"/>
          <w:jc w:val="center"/>
        </w:trPr>
        <w:tc>
          <w:tcPr>
            <w:tcW w:w="4531" w:type="dxa"/>
            <w:vAlign w:val="center"/>
          </w:tcPr>
          <w:p w:rsidR="0083099E" w:rsidRPr="0051546F" w:rsidRDefault="00427FD8" w:rsidP="00507214">
            <w:pPr>
              <w:tabs>
                <w:tab w:val="left" w:pos="6225"/>
              </w:tabs>
            </w:pPr>
            <w:r w:rsidRPr="0051546F">
              <w:t>Комитет по экономике и инвестициям</w:t>
            </w:r>
          </w:p>
        </w:tc>
        <w:tc>
          <w:tcPr>
            <w:tcW w:w="2127" w:type="dxa"/>
            <w:vAlign w:val="center"/>
          </w:tcPr>
          <w:p w:rsidR="0083099E" w:rsidRDefault="009318E6" w:rsidP="00507214">
            <w:pPr>
              <w:tabs>
                <w:tab w:val="left" w:pos="6225"/>
              </w:tabs>
              <w:jc w:val="center"/>
            </w:pPr>
            <w:r>
              <w:t>1</w:t>
            </w:r>
          </w:p>
          <w:p w:rsidR="009318E6" w:rsidRPr="009318E6" w:rsidRDefault="009318E6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9318E6">
              <w:rPr>
                <w:b/>
              </w:rPr>
              <w:t>1</w:t>
            </w:r>
          </w:p>
        </w:tc>
        <w:tc>
          <w:tcPr>
            <w:tcW w:w="2839" w:type="dxa"/>
            <w:vAlign w:val="center"/>
          </w:tcPr>
          <w:p w:rsidR="0083099E" w:rsidRDefault="009318E6" w:rsidP="00507214">
            <w:pPr>
              <w:tabs>
                <w:tab w:val="left" w:pos="6225"/>
              </w:tabs>
              <w:jc w:val="center"/>
            </w:pPr>
            <w:r>
              <w:t>в</w:t>
            </w:r>
            <w:r w:rsidR="00427FD8" w:rsidRPr="0051546F">
              <w:t>ысокий</w:t>
            </w:r>
          </w:p>
          <w:p w:rsidR="009318E6" w:rsidRPr="009318E6" w:rsidRDefault="009318E6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9318E6">
              <w:rPr>
                <w:b/>
              </w:rPr>
              <w:t>неудовлетворительный</w:t>
            </w:r>
          </w:p>
        </w:tc>
      </w:tr>
      <w:tr w:rsidR="0083099E" w:rsidRPr="0051546F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51546F" w:rsidRDefault="00427FD8" w:rsidP="00507214">
            <w:pPr>
              <w:tabs>
                <w:tab w:val="left" w:pos="6225"/>
              </w:tabs>
            </w:pPr>
            <w:r w:rsidRPr="0051546F">
              <w:t>Организационный отдел</w:t>
            </w:r>
          </w:p>
        </w:tc>
        <w:tc>
          <w:tcPr>
            <w:tcW w:w="2127" w:type="dxa"/>
            <w:vAlign w:val="center"/>
          </w:tcPr>
          <w:p w:rsidR="0083099E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>1</w:t>
            </w:r>
          </w:p>
        </w:tc>
        <w:tc>
          <w:tcPr>
            <w:tcW w:w="2839" w:type="dxa"/>
            <w:vAlign w:val="center"/>
          </w:tcPr>
          <w:p w:rsidR="0083099E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>высокий</w:t>
            </w:r>
          </w:p>
        </w:tc>
      </w:tr>
      <w:tr w:rsidR="00427FD8" w:rsidRPr="0051546F" w:rsidTr="009318E6">
        <w:trPr>
          <w:trHeight w:val="666"/>
          <w:jc w:val="center"/>
        </w:trPr>
        <w:tc>
          <w:tcPr>
            <w:tcW w:w="4531" w:type="dxa"/>
            <w:vAlign w:val="center"/>
          </w:tcPr>
          <w:p w:rsidR="00427FD8" w:rsidRPr="0051546F" w:rsidRDefault="00427FD8" w:rsidP="00427FD8">
            <w:pPr>
              <w:rPr>
                <w:iCs/>
              </w:rPr>
            </w:pPr>
            <w:r w:rsidRPr="0051546F">
              <w:rPr>
                <w:iCs/>
              </w:rPr>
              <w:t>Комитет жилищно- коммунального хозяйства</w:t>
            </w:r>
            <w:r w:rsidRPr="0051546F">
              <w:rPr>
                <w:iCs/>
              </w:rPr>
              <w:tab/>
            </w:r>
          </w:p>
        </w:tc>
        <w:tc>
          <w:tcPr>
            <w:tcW w:w="2127" w:type="dxa"/>
            <w:vAlign w:val="center"/>
          </w:tcPr>
          <w:p w:rsidR="00427FD8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>2</w:t>
            </w:r>
          </w:p>
        </w:tc>
        <w:tc>
          <w:tcPr>
            <w:tcW w:w="2839" w:type="dxa"/>
            <w:vAlign w:val="center"/>
          </w:tcPr>
          <w:p w:rsidR="009318E6" w:rsidRDefault="009318E6" w:rsidP="00507214">
            <w:pPr>
              <w:tabs>
                <w:tab w:val="left" w:pos="6225"/>
              </w:tabs>
              <w:jc w:val="center"/>
            </w:pPr>
          </w:p>
          <w:p w:rsidR="00427FD8" w:rsidRPr="0051546F" w:rsidRDefault="00427FD8" w:rsidP="00507214">
            <w:pPr>
              <w:tabs>
                <w:tab w:val="left" w:pos="6225"/>
              </w:tabs>
              <w:jc w:val="center"/>
            </w:pPr>
            <w:r w:rsidRPr="0051546F">
              <w:t xml:space="preserve">высокий </w:t>
            </w:r>
          </w:p>
          <w:p w:rsidR="0051546F" w:rsidRPr="0051546F" w:rsidRDefault="0051546F" w:rsidP="00507214">
            <w:pPr>
              <w:tabs>
                <w:tab w:val="left" w:pos="6225"/>
              </w:tabs>
              <w:jc w:val="center"/>
              <w:rPr>
                <w:b/>
              </w:rPr>
            </w:pPr>
          </w:p>
        </w:tc>
      </w:tr>
      <w:tr w:rsidR="0051546F" w:rsidRPr="0051546F" w:rsidTr="00427FD8">
        <w:trPr>
          <w:trHeight w:val="518"/>
          <w:jc w:val="center"/>
        </w:trPr>
        <w:tc>
          <w:tcPr>
            <w:tcW w:w="4531" w:type="dxa"/>
            <w:vAlign w:val="center"/>
          </w:tcPr>
          <w:p w:rsidR="0051546F" w:rsidRPr="0051546F" w:rsidRDefault="0051546F" w:rsidP="00427FD8">
            <w:pPr>
              <w:tabs>
                <w:tab w:val="left" w:pos="6225"/>
              </w:tabs>
            </w:pPr>
            <w:r w:rsidRPr="0051546F">
              <w:lastRenderedPageBreak/>
              <w:t>Комитет финансов</w:t>
            </w:r>
          </w:p>
        </w:tc>
        <w:tc>
          <w:tcPr>
            <w:tcW w:w="2127" w:type="dxa"/>
            <w:vAlign w:val="center"/>
          </w:tcPr>
          <w:p w:rsidR="0051546F" w:rsidRPr="0051546F" w:rsidRDefault="0051546F" w:rsidP="00507214">
            <w:pPr>
              <w:tabs>
                <w:tab w:val="left" w:pos="6225"/>
              </w:tabs>
              <w:jc w:val="center"/>
            </w:pPr>
            <w:r w:rsidRPr="0051546F">
              <w:t>1</w:t>
            </w:r>
          </w:p>
        </w:tc>
        <w:tc>
          <w:tcPr>
            <w:tcW w:w="2839" w:type="dxa"/>
            <w:vAlign w:val="center"/>
          </w:tcPr>
          <w:p w:rsidR="0051546F" w:rsidRPr="0051546F" w:rsidRDefault="0051546F" w:rsidP="00507214">
            <w:pPr>
              <w:tabs>
                <w:tab w:val="left" w:pos="6225"/>
              </w:tabs>
              <w:jc w:val="center"/>
            </w:pPr>
            <w:r w:rsidRPr="0051546F">
              <w:t>высокий</w:t>
            </w:r>
          </w:p>
        </w:tc>
      </w:tr>
      <w:tr w:rsidR="0083099E" w:rsidRPr="0051546F" w:rsidTr="00427FD8">
        <w:trPr>
          <w:trHeight w:val="518"/>
          <w:jc w:val="center"/>
        </w:trPr>
        <w:tc>
          <w:tcPr>
            <w:tcW w:w="4531" w:type="dxa"/>
            <w:vAlign w:val="center"/>
          </w:tcPr>
          <w:p w:rsidR="0083099E" w:rsidRPr="0051546F" w:rsidRDefault="00427FD8" w:rsidP="00427FD8">
            <w:pPr>
              <w:tabs>
                <w:tab w:val="left" w:pos="6225"/>
              </w:tabs>
            </w:pPr>
            <w:r w:rsidRPr="0051546F">
              <w:t>Комитет социальной защиты</w:t>
            </w:r>
          </w:p>
        </w:tc>
        <w:tc>
          <w:tcPr>
            <w:tcW w:w="2127" w:type="dxa"/>
            <w:vAlign w:val="center"/>
          </w:tcPr>
          <w:p w:rsidR="0083099E" w:rsidRPr="0051546F" w:rsidRDefault="0083099E" w:rsidP="00507214">
            <w:pPr>
              <w:tabs>
                <w:tab w:val="left" w:pos="6225"/>
              </w:tabs>
              <w:jc w:val="center"/>
            </w:pPr>
            <w:r w:rsidRPr="0051546F">
              <w:t>1</w:t>
            </w:r>
          </w:p>
        </w:tc>
        <w:tc>
          <w:tcPr>
            <w:tcW w:w="2839" w:type="dxa"/>
            <w:vAlign w:val="center"/>
          </w:tcPr>
          <w:p w:rsidR="0083099E" w:rsidRPr="0051546F" w:rsidRDefault="00780935" w:rsidP="00507214">
            <w:pPr>
              <w:tabs>
                <w:tab w:val="left" w:pos="6225"/>
              </w:tabs>
              <w:jc w:val="center"/>
            </w:pPr>
            <w:r w:rsidRPr="00780935">
              <w:t>высокий</w:t>
            </w:r>
          </w:p>
        </w:tc>
      </w:tr>
      <w:tr w:rsidR="0083099E" w:rsidRPr="0051546F" w:rsidTr="00A77640">
        <w:trPr>
          <w:trHeight w:val="943"/>
          <w:jc w:val="center"/>
        </w:trPr>
        <w:tc>
          <w:tcPr>
            <w:tcW w:w="4531" w:type="dxa"/>
            <w:vAlign w:val="center"/>
          </w:tcPr>
          <w:p w:rsidR="0083099E" w:rsidRPr="0051546F" w:rsidRDefault="0051546F" w:rsidP="00507214">
            <w:pPr>
              <w:tabs>
                <w:tab w:val="left" w:pos="6225"/>
              </w:tabs>
            </w:pPr>
            <w:r w:rsidRPr="0051546F">
              <w:t>Комитет по управлению имуществом и градостроительству</w:t>
            </w:r>
          </w:p>
        </w:tc>
        <w:tc>
          <w:tcPr>
            <w:tcW w:w="2127" w:type="dxa"/>
            <w:vAlign w:val="center"/>
          </w:tcPr>
          <w:p w:rsidR="0083099E" w:rsidRPr="0051546F" w:rsidRDefault="0083099E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1</w:t>
            </w:r>
          </w:p>
        </w:tc>
        <w:tc>
          <w:tcPr>
            <w:tcW w:w="2839" w:type="dxa"/>
            <w:vAlign w:val="center"/>
          </w:tcPr>
          <w:p w:rsidR="0083099E" w:rsidRPr="0051546F" w:rsidRDefault="0051546F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неудовлетворительный</w:t>
            </w:r>
          </w:p>
        </w:tc>
      </w:tr>
      <w:tr w:rsidR="0051546F" w:rsidRPr="0051546F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51546F" w:rsidRPr="0051546F" w:rsidRDefault="0051546F" w:rsidP="0051546F">
            <w:pPr>
              <w:tabs>
                <w:tab w:val="left" w:pos="6225"/>
              </w:tabs>
              <w:rPr>
                <w:iCs/>
              </w:rPr>
            </w:pPr>
            <w:r w:rsidRPr="0051546F">
              <w:rPr>
                <w:iCs/>
              </w:rPr>
              <w:t>Отдел архитектуры</w:t>
            </w:r>
          </w:p>
        </w:tc>
        <w:tc>
          <w:tcPr>
            <w:tcW w:w="2127" w:type="dxa"/>
            <w:vAlign w:val="center"/>
          </w:tcPr>
          <w:p w:rsidR="0051546F" w:rsidRPr="0051546F" w:rsidRDefault="0051546F" w:rsidP="0051546F">
            <w:pPr>
              <w:tabs>
                <w:tab w:val="left" w:pos="6225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1</w:t>
            </w:r>
          </w:p>
        </w:tc>
        <w:tc>
          <w:tcPr>
            <w:tcW w:w="2839" w:type="dxa"/>
            <w:vAlign w:val="center"/>
          </w:tcPr>
          <w:p w:rsidR="0051546F" w:rsidRPr="0051546F" w:rsidRDefault="0051546F" w:rsidP="0051546F">
            <w:pPr>
              <w:tabs>
                <w:tab w:val="left" w:pos="6225"/>
              </w:tabs>
              <w:jc w:val="center"/>
              <w:rPr>
                <w:b/>
              </w:rPr>
            </w:pPr>
            <w:r w:rsidRPr="0051546F">
              <w:rPr>
                <w:b/>
              </w:rPr>
              <w:t>неудовлетворительный</w:t>
            </w:r>
          </w:p>
        </w:tc>
      </w:tr>
    </w:tbl>
    <w:p w:rsidR="00BE37CD" w:rsidRPr="0051546F" w:rsidRDefault="00BE37CD">
      <w:pPr>
        <w:rPr>
          <w:b/>
        </w:rPr>
      </w:pPr>
    </w:p>
    <w:p w:rsidR="00E76360" w:rsidRDefault="00E76360" w:rsidP="00C311AE">
      <w:pPr>
        <w:tabs>
          <w:tab w:val="left" w:pos="6225"/>
        </w:tabs>
        <w:spacing w:after="120"/>
        <w:ind w:firstLine="567"/>
        <w:jc w:val="both"/>
        <w:rPr>
          <w:b/>
        </w:rPr>
      </w:pPr>
      <w:r w:rsidRPr="0051546F">
        <w:rPr>
          <w:b/>
        </w:rPr>
        <w:t>Итоговые результаты оценки в целом</w:t>
      </w:r>
    </w:p>
    <w:tbl>
      <w:tblPr>
        <w:tblpPr w:leftFromText="180" w:rightFromText="180" w:vertAnchor="text" w:horzAnchor="margin" w:tblpY="192"/>
        <w:tblW w:w="8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8"/>
        <w:gridCol w:w="1752"/>
        <w:gridCol w:w="1544"/>
      </w:tblGrid>
      <w:tr w:rsidR="00B411A7" w:rsidRPr="0051546F" w:rsidTr="00B411A7">
        <w:trPr>
          <w:trHeight w:val="1155"/>
        </w:trPr>
        <w:tc>
          <w:tcPr>
            <w:tcW w:w="4898" w:type="dxa"/>
            <w:vAlign w:val="center"/>
          </w:tcPr>
          <w:p w:rsidR="00B411A7" w:rsidRPr="0051546F" w:rsidRDefault="00B411A7" w:rsidP="00B411A7">
            <w:pPr>
              <w:jc w:val="center"/>
              <w:rPr>
                <w:b/>
              </w:rPr>
            </w:pPr>
            <w:r w:rsidRPr="0051546F">
              <w:rPr>
                <w:b/>
              </w:rPr>
              <w:t>Значение уровня эффективности</w:t>
            </w:r>
          </w:p>
        </w:tc>
        <w:tc>
          <w:tcPr>
            <w:tcW w:w="1752" w:type="dxa"/>
            <w:vAlign w:val="center"/>
          </w:tcPr>
          <w:p w:rsidR="00B411A7" w:rsidRPr="0051546F" w:rsidRDefault="00B411A7" w:rsidP="00B411A7">
            <w:pPr>
              <w:jc w:val="center"/>
              <w:rPr>
                <w:b/>
              </w:rPr>
            </w:pPr>
          </w:p>
          <w:p w:rsidR="00B411A7" w:rsidRPr="0051546F" w:rsidRDefault="00B411A7" w:rsidP="00B411A7">
            <w:pPr>
              <w:jc w:val="center"/>
              <w:rPr>
                <w:b/>
              </w:rPr>
            </w:pPr>
            <w:r w:rsidRPr="0051546F">
              <w:rPr>
                <w:b/>
              </w:rPr>
              <w:t>Число программ, ед.</w:t>
            </w:r>
          </w:p>
          <w:p w:rsidR="00B411A7" w:rsidRPr="0051546F" w:rsidRDefault="00B411A7" w:rsidP="00B411A7">
            <w:pPr>
              <w:jc w:val="center"/>
              <w:rPr>
                <w:b/>
              </w:rPr>
            </w:pPr>
          </w:p>
        </w:tc>
        <w:tc>
          <w:tcPr>
            <w:tcW w:w="1544" w:type="dxa"/>
            <w:vAlign w:val="center"/>
          </w:tcPr>
          <w:p w:rsidR="00B411A7" w:rsidRPr="0051546F" w:rsidRDefault="00B411A7" w:rsidP="00B411A7">
            <w:pPr>
              <w:jc w:val="center"/>
              <w:rPr>
                <w:b/>
              </w:rPr>
            </w:pPr>
          </w:p>
          <w:p w:rsidR="00B411A7" w:rsidRPr="0051546F" w:rsidRDefault="00B411A7" w:rsidP="00B411A7">
            <w:pPr>
              <w:jc w:val="center"/>
              <w:rPr>
                <w:b/>
              </w:rPr>
            </w:pPr>
            <w:r w:rsidRPr="0051546F">
              <w:rPr>
                <w:b/>
                <w:bCs/>
              </w:rPr>
              <w:t>В % к итогу</w:t>
            </w:r>
          </w:p>
          <w:p w:rsidR="00B411A7" w:rsidRPr="0051546F" w:rsidRDefault="00B411A7" w:rsidP="00B411A7">
            <w:pPr>
              <w:jc w:val="center"/>
              <w:rPr>
                <w:b/>
              </w:rPr>
            </w:pPr>
          </w:p>
        </w:tc>
      </w:tr>
      <w:tr w:rsidR="00B411A7" w:rsidRPr="0051546F" w:rsidTr="00B411A7">
        <w:trPr>
          <w:trHeight w:val="227"/>
        </w:trPr>
        <w:tc>
          <w:tcPr>
            <w:tcW w:w="4898" w:type="dxa"/>
            <w:noWrap/>
          </w:tcPr>
          <w:p w:rsidR="00B411A7" w:rsidRPr="0051546F" w:rsidRDefault="00B411A7" w:rsidP="00B411A7">
            <w:r w:rsidRPr="0051546F">
              <w:t>высокий</w:t>
            </w:r>
          </w:p>
        </w:tc>
        <w:tc>
          <w:tcPr>
            <w:tcW w:w="1752" w:type="dxa"/>
          </w:tcPr>
          <w:p w:rsidR="00B411A7" w:rsidRPr="0051546F" w:rsidRDefault="00B411A7" w:rsidP="00780935">
            <w:pPr>
              <w:jc w:val="center"/>
            </w:pPr>
            <w:r w:rsidRPr="0051546F">
              <w:t>1</w:t>
            </w:r>
            <w:r w:rsidR="00780935">
              <w:t>3</w:t>
            </w:r>
          </w:p>
        </w:tc>
        <w:tc>
          <w:tcPr>
            <w:tcW w:w="1544" w:type="dxa"/>
          </w:tcPr>
          <w:p w:rsidR="00B411A7" w:rsidRPr="0051546F" w:rsidRDefault="00780935" w:rsidP="00B411A7">
            <w:pPr>
              <w:jc w:val="center"/>
            </w:pPr>
            <w:r>
              <w:t>81</w:t>
            </w:r>
          </w:p>
        </w:tc>
      </w:tr>
      <w:tr w:rsidR="00B411A7" w:rsidRPr="0051546F" w:rsidTr="00B411A7">
        <w:trPr>
          <w:trHeight w:val="239"/>
        </w:trPr>
        <w:tc>
          <w:tcPr>
            <w:tcW w:w="4898" w:type="dxa"/>
            <w:noWrap/>
          </w:tcPr>
          <w:p w:rsidR="00B411A7" w:rsidRPr="0051546F" w:rsidRDefault="00B411A7" w:rsidP="00B411A7">
            <w:r w:rsidRPr="0051546F">
              <w:t>удовлетворительный</w:t>
            </w:r>
          </w:p>
        </w:tc>
        <w:tc>
          <w:tcPr>
            <w:tcW w:w="1752" w:type="dxa"/>
          </w:tcPr>
          <w:p w:rsidR="00B411A7" w:rsidRPr="0051546F" w:rsidRDefault="00780935" w:rsidP="00B411A7">
            <w:pPr>
              <w:jc w:val="center"/>
            </w:pPr>
            <w:r>
              <w:t>0</w:t>
            </w:r>
          </w:p>
        </w:tc>
        <w:tc>
          <w:tcPr>
            <w:tcW w:w="1544" w:type="dxa"/>
          </w:tcPr>
          <w:p w:rsidR="00B411A7" w:rsidRPr="0051546F" w:rsidRDefault="00780935" w:rsidP="00B411A7">
            <w:pPr>
              <w:jc w:val="center"/>
            </w:pPr>
            <w:r>
              <w:t>0</w:t>
            </w:r>
          </w:p>
        </w:tc>
      </w:tr>
      <w:tr w:rsidR="00B411A7" w:rsidRPr="0051546F" w:rsidTr="00B411A7">
        <w:trPr>
          <w:trHeight w:val="227"/>
        </w:trPr>
        <w:tc>
          <w:tcPr>
            <w:tcW w:w="4898" w:type="dxa"/>
            <w:noWrap/>
          </w:tcPr>
          <w:p w:rsidR="00B411A7" w:rsidRPr="0051546F" w:rsidRDefault="00B411A7" w:rsidP="00B411A7">
            <w:r w:rsidRPr="0051546F">
              <w:t>неудовлетворительный</w:t>
            </w:r>
          </w:p>
        </w:tc>
        <w:tc>
          <w:tcPr>
            <w:tcW w:w="1752" w:type="dxa"/>
          </w:tcPr>
          <w:p w:rsidR="00B411A7" w:rsidRPr="0051546F" w:rsidRDefault="00B411A7" w:rsidP="00B411A7">
            <w:pPr>
              <w:jc w:val="center"/>
            </w:pPr>
            <w:r w:rsidRPr="0051546F">
              <w:t>3</w:t>
            </w:r>
          </w:p>
        </w:tc>
        <w:tc>
          <w:tcPr>
            <w:tcW w:w="1544" w:type="dxa"/>
          </w:tcPr>
          <w:p w:rsidR="00B411A7" w:rsidRPr="0051546F" w:rsidRDefault="00B411A7" w:rsidP="00B411A7">
            <w:pPr>
              <w:jc w:val="center"/>
            </w:pPr>
            <w:r w:rsidRPr="0051546F">
              <w:t>19</w:t>
            </w:r>
          </w:p>
        </w:tc>
      </w:tr>
      <w:tr w:rsidR="00B411A7" w:rsidRPr="0051546F" w:rsidTr="00B411A7">
        <w:trPr>
          <w:trHeight w:val="77"/>
        </w:trPr>
        <w:tc>
          <w:tcPr>
            <w:tcW w:w="4898" w:type="dxa"/>
            <w:noWrap/>
            <w:vAlign w:val="center"/>
          </w:tcPr>
          <w:p w:rsidR="00B411A7" w:rsidRPr="0051546F" w:rsidRDefault="00B411A7" w:rsidP="00B411A7">
            <w:pPr>
              <w:rPr>
                <w:b/>
              </w:rPr>
            </w:pPr>
            <w:r w:rsidRPr="0051546F">
              <w:rPr>
                <w:b/>
              </w:rPr>
              <w:t>Итого</w:t>
            </w:r>
          </w:p>
        </w:tc>
        <w:tc>
          <w:tcPr>
            <w:tcW w:w="1752" w:type="dxa"/>
          </w:tcPr>
          <w:p w:rsidR="00B411A7" w:rsidRPr="0051546F" w:rsidRDefault="00B411A7" w:rsidP="00B411A7">
            <w:pPr>
              <w:jc w:val="center"/>
              <w:rPr>
                <w:b/>
                <w:bCs/>
              </w:rPr>
            </w:pPr>
            <w:r w:rsidRPr="0051546F">
              <w:rPr>
                <w:b/>
                <w:bCs/>
              </w:rPr>
              <w:t>16</w:t>
            </w:r>
          </w:p>
        </w:tc>
        <w:tc>
          <w:tcPr>
            <w:tcW w:w="1544" w:type="dxa"/>
          </w:tcPr>
          <w:p w:rsidR="00B411A7" w:rsidRPr="0051546F" w:rsidRDefault="00B411A7" w:rsidP="00B411A7">
            <w:pPr>
              <w:jc w:val="center"/>
              <w:rPr>
                <w:b/>
                <w:bCs/>
              </w:rPr>
            </w:pPr>
            <w:r w:rsidRPr="0051546F">
              <w:rPr>
                <w:b/>
                <w:bCs/>
              </w:rPr>
              <w:t>100</w:t>
            </w:r>
          </w:p>
        </w:tc>
      </w:tr>
    </w:tbl>
    <w:p w:rsidR="00B411A7" w:rsidRPr="0051546F" w:rsidRDefault="00B411A7" w:rsidP="00C311AE">
      <w:pPr>
        <w:tabs>
          <w:tab w:val="left" w:pos="6225"/>
        </w:tabs>
        <w:spacing w:after="120"/>
        <w:ind w:firstLine="567"/>
        <w:jc w:val="both"/>
        <w:rPr>
          <w:b/>
        </w:rPr>
      </w:pPr>
    </w:p>
    <w:p w:rsidR="00E76360" w:rsidRPr="0051546F" w:rsidRDefault="00E76360" w:rsidP="00740BAA">
      <w:pPr>
        <w:jc w:val="both"/>
      </w:pPr>
    </w:p>
    <w:p w:rsidR="00E76360" w:rsidRPr="0051546F" w:rsidRDefault="00E76360" w:rsidP="00740BAA">
      <w:pPr>
        <w:jc w:val="both"/>
        <w:rPr>
          <w:i/>
        </w:rPr>
      </w:pPr>
      <w:r w:rsidRPr="0051546F">
        <w:rPr>
          <w:i/>
        </w:rPr>
        <w:t>Приложение:</w:t>
      </w:r>
    </w:p>
    <w:p w:rsidR="00E76360" w:rsidRDefault="00E76360" w:rsidP="00411AD2">
      <w:pPr>
        <w:jc w:val="both"/>
      </w:pPr>
      <w:r w:rsidRPr="0051546F">
        <w:t>Отч</w:t>
      </w:r>
      <w:r w:rsidR="00D4559A" w:rsidRPr="0051546F">
        <w:t>ё</w:t>
      </w:r>
      <w:r w:rsidRPr="0051546F">
        <w:t>т о достигнутых значениях целевых индикаторов, уровне финансирования и уровне эффек</w:t>
      </w:r>
      <w:r w:rsidRPr="008C7EFB">
        <w:t>тивности муниципальных программ Тихвинского района за 20</w:t>
      </w:r>
      <w:r w:rsidR="008125C3" w:rsidRPr="008C7EFB">
        <w:t>2</w:t>
      </w:r>
      <w:r w:rsidR="0051546F">
        <w:t>3</w:t>
      </w:r>
      <w:r w:rsidRPr="008C7EFB">
        <w:t xml:space="preserve"> год.</w:t>
      </w:r>
    </w:p>
    <w:sectPr w:rsidR="00E76360" w:rsidSect="00780935">
      <w:footerReference w:type="default" r:id="rId8"/>
      <w:pgSz w:w="11906" w:h="16838"/>
      <w:pgMar w:top="709" w:right="851" w:bottom="1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253" w:rsidRDefault="00634253" w:rsidP="00085271">
      <w:r>
        <w:separator/>
      </w:r>
    </w:p>
  </w:endnote>
  <w:endnote w:type="continuationSeparator" w:id="0">
    <w:p w:rsidR="00634253" w:rsidRDefault="00634253" w:rsidP="00085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360" w:rsidRDefault="00F92CCF">
    <w:pPr>
      <w:pStyle w:val="a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77640">
      <w:rPr>
        <w:noProof/>
      </w:rPr>
      <w:t>1</w:t>
    </w:r>
    <w:r>
      <w:rPr>
        <w:noProof/>
      </w:rPr>
      <w:fldChar w:fldCharType="end"/>
    </w:r>
  </w:p>
  <w:p w:rsidR="00E76360" w:rsidRDefault="00E7636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253" w:rsidRDefault="00634253" w:rsidP="00085271">
      <w:r>
        <w:separator/>
      </w:r>
    </w:p>
  </w:footnote>
  <w:footnote w:type="continuationSeparator" w:id="0">
    <w:p w:rsidR="00634253" w:rsidRDefault="00634253" w:rsidP="00085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4643E"/>
    <w:multiLevelType w:val="hybridMultilevel"/>
    <w:tmpl w:val="91CA5D42"/>
    <w:lvl w:ilvl="0" w:tplc="DB665F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9313E63"/>
    <w:multiLevelType w:val="hybridMultilevel"/>
    <w:tmpl w:val="473E7D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DA1701"/>
    <w:multiLevelType w:val="hybridMultilevel"/>
    <w:tmpl w:val="EDA0D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C0D3478"/>
    <w:multiLevelType w:val="hybridMultilevel"/>
    <w:tmpl w:val="CBD6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13"/>
    <w:rsid w:val="00010A4C"/>
    <w:rsid w:val="00011476"/>
    <w:rsid w:val="00012C56"/>
    <w:rsid w:val="0001429B"/>
    <w:rsid w:val="000167A3"/>
    <w:rsid w:val="00017AF1"/>
    <w:rsid w:val="00017B2C"/>
    <w:rsid w:val="00021C83"/>
    <w:rsid w:val="000232CD"/>
    <w:rsid w:val="00025361"/>
    <w:rsid w:val="000317D4"/>
    <w:rsid w:val="0003374F"/>
    <w:rsid w:val="00036188"/>
    <w:rsid w:val="000452C0"/>
    <w:rsid w:val="00055A41"/>
    <w:rsid w:val="0005629F"/>
    <w:rsid w:val="000629B2"/>
    <w:rsid w:val="000632DC"/>
    <w:rsid w:val="000641F8"/>
    <w:rsid w:val="00066384"/>
    <w:rsid w:val="00070A26"/>
    <w:rsid w:val="000728F4"/>
    <w:rsid w:val="00080002"/>
    <w:rsid w:val="00083E50"/>
    <w:rsid w:val="000847B1"/>
    <w:rsid w:val="00085271"/>
    <w:rsid w:val="00093297"/>
    <w:rsid w:val="00094E12"/>
    <w:rsid w:val="00094FBA"/>
    <w:rsid w:val="00095E7E"/>
    <w:rsid w:val="00096FBB"/>
    <w:rsid w:val="000A2719"/>
    <w:rsid w:val="000A60C3"/>
    <w:rsid w:val="000A68A5"/>
    <w:rsid w:val="000B5F98"/>
    <w:rsid w:val="000B6306"/>
    <w:rsid w:val="000B7172"/>
    <w:rsid w:val="000C068D"/>
    <w:rsid w:val="000C1C49"/>
    <w:rsid w:val="000D0C74"/>
    <w:rsid w:val="000D4B0D"/>
    <w:rsid w:val="000D4FF6"/>
    <w:rsid w:val="000D5297"/>
    <w:rsid w:val="000D7374"/>
    <w:rsid w:val="000D7FD4"/>
    <w:rsid w:val="000E11AD"/>
    <w:rsid w:val="000E155E"/>
    <w:rsid w:val="000E2EBA"/>
    <w:rsid w:val="000E5E7E"/>
    <w:rsid w:val="000E6FCC"/>
    <w:rsid w:val="000F1642"/>
    <w:rsid w:val="000F5214"/>
    <w:rsid w:val="00101422"/>
    <w:rsid w:val="00112F23"/>
    <w:rsid w:val="001179AB"/>
    <w:rsid w:val="00120003"/>
    <w:rsid w:val="00123547"/>
    <w:rsid w:val="00130DBA"/>
    <w:rsid w:val="00135ECC"/>
    <w:rsid w:val="00143972"/>
    <w:rsid w:val="0015350D"/>
    <w:rsid w:val="00155183"/>
    <w:rsid w:val="00157355"/>
    <w:rsid w:val="0016725F"/>
    <w:rsid w:val="00173CF7"/>
    <w:rsid w:val="00176043"/>
    <w:rsid w:val="0018192A"/>
    <w:rsid w:val="0019341E"/>
    <w:rsid w:val="00194239"/>
    <w:rsid w:val="00195B51"/>
    <w:rsid w:val="001975D8"/>
    <w:rsid w:val="001A2F0F"/>
    <w:rsid w:val="001A41D8"/>
    <w:rsid w:val="001B2448"/>
    <w:rsid w:val="001B39BD"/>
    <w:rsid w:val="001C2609"/>
    <w:rsid w:val="001C449C"/>
    <w:rsid w:val="001C6151"/>
    <w:rsid w:val="001C6E94"/>
    <w:rsid w:val="001D2C97"/>
    <w:rsid w:val="001D4FF4"/>
    <w:rsid w:val="001E56E5"/>
    <w:rsid w:val="001F04C6"/>
    <w:rsid w:val="001F0AF7"/>
    <w:rsid w:val="001F1A03"/>
    <w:rsid w:val="001F20C7"/>
    <w:rsid w:val="00200416"/>
    <w:rsid w:val="00203E47"/>
    <w:rsid w:val="002040FC"/>
    <w:rsid w:val="00213525"/>
    <w:rsid w:val="002146EE"/>
    <w:rsid w:val="002152DB"/>
    <w:rsid w:val="00217E4B"/>
    <w:rsid w:val="002217A1"/>
    <w:rsid w:val="00223BF0"/>
    <w:rsid w:val="00224469"/>
    <w:rsid w:val="00224703"/>
    <w:rsid w:val="00232019"/>
    <w:rsid w:val="002326F1"/>
    <w:rsid w:val="00234D23"/>
    <w:rsid w:val="00235DB6"/>
    <w:rsid w:val="00241962"/>
    <w:rsid w:val="00246965"/>
    <w:rsid w:val="002476FF"/>
    <w:rsid w:val="00254ABC"/>
    <w:rsid w:val="00255DA1"/>
    <w:rsid w:val="002646A5"/>
    <w:rsid w:val="00267A15"/>
    <w:rsid w:val="00272940"/>
    <w:rsid w:val="00273D9F"/>
    <w:rsid w:val="00273E50"/>
    <w:rsid w:val="00275670"/>
    <w:rsid w:val="0028025E"/>
    <w:rsid w:val="00281A6C"/>
    <w:rsid w:val="002829D0"/>
    <w:rsid w:val="002835A6"/>
    <w:rsid w:val="00283929"/>
    <w:rsid w:val="0028404E"/>
    <w:rsid w:val="0028595D"/>
    <w:rsid w:val="00285E82"/>
    <w:rsid w:val="002869D7"/>
    <w:rsid w:val="00286E53"/>
    <w:rsid w:val="002952FB"/>
    <w:rsid w:val="00296C2F"/>
    <w:rsid w:val="00297378"/>
    <w:rsid w:val="002A0D04"/>
    <w:rsid w:val="002A19A8"/>
    <w:rsid w:val="002A5B1F"/>
    <w:rsid w:val="002B2124"/>
    <w:rsid w:val="002B6F9C"/>
    <w:rsid w:val="002C5243"/>
    <w:rsid w:val="002C6051"/>
    <w:rsid w:val="002D07B8"/>
    <w:rsid w:val="002D19B7"/>
    <w:rsid w:val="002D1BB2"/>
    <w:rsid w:val="002E0BA2"/>
    <w:rsid w:val="002E2C5A"/>
    <w:rsid w:val="002F1A14"/>
    <w:rsid w:val="002F1A95"/>
    <w:rsid w:val="002F4C9C"/>
    <w:rsid w:val="00301222"/>
    <w:rsid w:val="00316F10"/>
    <w:rsid w:val="00317621"/>
    <w:rsid w:val="00322764"/>
    <w:rsid w:val="00323AB8"/>
    <w:rsid w:val="003278C0"/>
    <w:rsid w:val="00331321"/>
    <w:rsid w:val="003325CF"/>
    <w:rsid w:val="0034351D"/>
    <w:rsid w:val="0034467F"/>
    <w:rsid w:val="00347299"/>
    <w:rsid w:val="0035081B"/>
    <w:rsid w:val="00355938"/>
    <w:rsid w:val="0036390B"/>
    <w:rsid w:val="00364392"/>
    <w:rsid w:val="0037299E"/>
    <w:rsid w:val="00373E4E"/>
    <w:rsid w:val="003756B2"/>
    <w:rsid w:val="00376DB6"/>
    <w:rsid w:val="0038599F"/>
    <w:rsid w:val="00391C54"/>
    <w:rsid w:val="00393A03"/>
    <w:rsid w:val="00397F86"/>
    <w:rsid w:val="003A5F6E"/>
    <w:rsid w:val="003B682E"/>
    <w:rsid w:val="003C3FE5"/>
    <w:rsid w:val="003C7729"/>
    <w:rsid w:val="003D4076"/>
    <w:rsid w:val="003D455E"/>
    <w:rsid w:val="003D755A"/>
    <w:rsid w:val="003E4124"/>
    <w:rsid w:val="003F170A"/>
    <w:rsid w:val="003F2285"/>
    <w:rsid w:val="003F284E"/>
    <w:rsid w:val="003F3FE5"/>
    <w:rsid w:val="00403E48"/>
    <w:rsid w:val="004058E3"/>
    <w:rsid w:val="004068B8"/>
    <w:rsid w:val="004069EA"/>
    <w:rsid w:val="00411AD2"/>
    <w:rsid w:val="00413CE2"/>
    <w:rsid w:val="00414EBB"/>
    <w:rsid w:val="00415824"/>
    <w:rsid w:val="00415FAD"/>
    <w:rsid w:val="0042159B"/>
    <w:rsid w:val="00425303"/>
    <w:rsid w:val="00427FD8"/>
    <w:rsid w:val="00431818"/>
    <w:rsid w:val="004327FE"/>
    <w:rsid w:val="00432CCA"/>
    <w:rsid w:val="004344F4"/>
    <w:rsid w:val="004373C9"/>
    <w:rsid w:val="0044014C"/>
    <w:rsid w:val="00445AEA"/>
    <w:rsid w:val="00446D2B"/>
    <w:rsid w:val="00451F3D"/>
    <w:rsid w:val="00451FDD"/>
    <w:rsid w:val="00452BE9"/>
    <w:rsid w:val="00463C23"/>
    <w:rsid w:val="00465AFE"/>
    <w:rsid w:val="0047113D"/>
    <w:rsid w:val="00471402"/>
    <w:rsid w:val="004715BE"/>
    <w:rsid w:val="00476FE8"/>
    <w:rsid w:val="004857D6"/>
    <w:rsid w:val="0049483E"/>
    <w:rsid w:val="00494898"/>
    <w:rsid w:val="004964C5"/>
    <w:rsid w:val="004979B8"/>
    <w:rsid w:val="004A0CFB"/>
    <w:rsid w:val="004A163D"/>
    <w:rsid w:val="004B6B6D"/>
    <w:rsid w:val="004B6E6D"/>
    <w:rsid w:val="004C2713"/>
    <w:rsid w:val="004C5583"/>
    <w:rsid w:val="004C6A29"/>
    <w:rsid w:val="004D08A3"/>
    <w:rsid w:val="004D0AAB"/>
    <w:rsid w:val="004D3C88"/>
    <w:rsid w:val="004D4749"/>
    <w:rsid w:val="004F16BD"/>
    <w:rsid w:val="004F191F"/>
    <w:rsid w:val="004F34DE"/>
    <w:rsid w:val="004F44C1"/>
    <w:rsid w:val="00505D86"/>
    <w:rsid w:val="00507214"/>
    <w:rsid w:val="005074C8"/>
    <w:rsid w:val="005108E9"/>
    <w:rsid w:val="0051546F"/>
    <w:rsid w:val="0052246A"/>
    <w:rsid w:val="00525667"/>
    <w:rsid w:val="00527BAB"/>
    <w:rsid w:val="00530463"/>
    <w:rsid w:val="00531A8E"/>
    <w:rsid w:val="0053727D"/>
    <w:rsid w:val="00537F3F"/>
    <w:rsid w:val="00540F0C"/>
    <w:rsid w:val="00544B85"/>
    <w:rsid w:val="005503E2"/>
    <w:rsid w:val="005530F1"/>
    <w:rsid w:val="00553519"/>
    <w:rsid w:val="00555BAD"/>
    <w:rsid w:val="00556E83"/>
    <w:rsid w:val="00557628"/>
    <w:rsid w:val="00557893"/>
    <w:rsid w:val="00557DF2"/>
    <w:rsid w:val="005614FD"/>
    <w:rsid w:val="00561F55"/>
    <w:rsid w:val="0056370F"/>
    <w:rsid w:val="00574269"/>
    <w:rsid w:val="00574859"/>
    <w:rsid w:val="00587998"/>
    <w:rsid w:val="00590FE5"/>
    <w:rsid w:val="005A581F"/>
    <w:rsid w:val="005B1555"/>
    <w:rsid w:val="005B6BEA"/>
    <w:rsid w:val="005B6F57"/>
    <w:rsid w:val="005C08CE"/>
    <w:rsid w:val="005C212B"/>
    <w:rsid w:val="005C5C99"/>
    <w:rsid w:val="005D0379"/>
    <w:rsid w:val="005D1759"/>
    <w:rsid w:val="005D5B86"/>
    <w:rsid w:val="005E0112"/>
    <w:rsid w:val="005F2ECF"/>
    <w:rsid w:val="005F3ACF"/>
    <w:rsid w:val="005F7F94"/>
    <w:rsid w:val="00601B74"/>
    <w:rsid w:val="00601FC2"/>
    <w:rsid w:val="00605909"/>
    <w:rsid w:val="00605D63"/>
    <w:rsid w:val="00612CE4"/>
    <w:rsid w:val="00613A55"/>
    <w:rsid w:val="006151CE"/>
    <w:rsid w:val="006169A9"/>
    <w:rsid w:val="0061734B"/>
    <w:rsid w:val="00617F4A"/>
    <w:rsid w:val="006238B8"/>
    <w:rsid w:val="0062643F"/>
    <w:rsid w:val="00634253"/>
    <w:rsid w:val="006345C7"/>
    <w:rsid w:val="00634868"/>
    <w:rsid w:val="006439FD"/>
    <w:rsid w:val="00645039"/>
    <w:rsid w:val="0064634D"/>
    <w:rsid w:val="00647A72"/>
    <w:rsid w:val="00650162"/>
    <w:rsid w:val="00652E86"/>
    <w:rsid w:val="00656BB6"/>
    <w:rsid w:val="00657D03"/>
    <w:rsid w:val="0066334F"/>
    <w:rsid w:val="00664DFA"/>
    <w:rsid w:val="00670DC5"/>
    <w:rsid w:val="00670E73"/>
    <w:rsid w:val="00672052"/>
    <w:rsid w:val="00672445"/>
    <w:rsid w:val="00683FAA"/>
    <w:rsid w:val="006905AA"/>
    <w:rsid w:val="00693ADF"/>
    <w:rsid w:val="00696405"/>
    <w:rsid w:val="006A1633"/>
    <w:rsid w:val="006A5D56"/>
    <w:rsid w:val="006B07EF"/>
    <w:rsid w:val="006C066F"/>
    <w:rsid w:val="006C2ACE"/>
    <w:rsid w:val="006C3552"/>
    <w:rsid w:val="006C6343"/>
    <w:rsid w:val="006D16C3"/>
    <w:rsid w:val="006D4BB1"/>
    <w:rsid w:val="006D4C37"/>
    <w:rsid w:val="006E0C93"/>
    <w:rsid w:val="006E1200"/>
    <w:rsid w:val="006E3258"/>
    <w:rsid w:val="006E4857"/>
    <w:rsid w:val="006F21D7"/>
    <w:rsid w:val="006F4089"/>
    <w:rsid w:val="006F4F9C"/>
    <w:rsid w:val="006F7E64"/>
    <w:rsid w:val="006F7F61"/>
    <w:rsid w:val="007042B1"/>
    <w:rsid w:val="00713812"/>
    <w:rsid w:val="007148E8"/>
    <w:rsid w:val="00723917"/>
    <w:rsid w:val="007272F7"/>
    <w:rsid w:val="00730223"/>
    <w:rsid w:val="0073045D"/>
    <w:rsid w:val="00731E33"/>
    <w:rsid w:val="00734370"/>
    <w:rsid w:val="00734531"/>
    <w:rsid w:val="00734BC2"/>
    <w:rsid w:val="00735032"/>
    <w:rsid w:val="007353E9"/>
    <w:rsid w:val="00740BAA"/>
    <w:rsid w:val="00740C6A"/>
    <w:rsid w:val="00742AB8"/>
    <w:rsid w:val="007507A4"/>
    <w:rsid w:val="00754478"/>
    <w:rsid w:val="00764EF0"/>
    <w:rsid w:val="00772F21"/>
    <w:rsid w:val="00772FBC"/>
    <w:rsid w:val="00774F59"/>
    <w:rsid w:val="00780935"/>
    <w:rsid w:val="007854A2"/>
    <w:rsid w:val="00785CB6"/>
    <w:rsid w:val="00790BB5"/>
    <w:rsid w:val="00791463"/>
    <w:rsid w:val="00791C0B"/>
    <w:rsid w:val="00794868"/>
    <w:rsid w:val="00794FF0"/>
    <w:rsid w:val="00796608"/>
    <w:rsid w:val="007A3A43"/>
    <w:rsid w:val="007A56FF"/>
    <w:rsid w:val="007A6E3D"/>
    <w:rsid w:val="007A7F27"/>
    <w:rsid w:val="007B24D9"/>
    <w:rsid w:val="007B3405"/>
    <w:rsid w:val="007C300F"/>
    <w:rsid w:val="007C3F7C"/>
    <w:rsid w:val="007C5074"/>
    <w:rsid w:val="007C69B0"/>
    <w:rsid w:val="007C7351"/>
    <w:rsid w:val="007D11B7"/>
    <w:rsid w:val="007D39CB"/>
    <w:rsid w:val="007E10C4"/>
    <w:rsid w:val="007E1594"/>
    <w:rsid w:val="007E1D68"/>
    <w:rsid w:val="007E6BD7"/>
    <w:rsid w:val="007F06FA"/>
    <w:rsid w:val="007F250F"/>
    <w:rsid w:val="007F3A41"/>
    <w:rsid w:val="007F4283"/>
    <w:rsid w:val="007F53CD"/>
    <w:rsid w:val="007F5579"/>
    <w:rsid w:val="0080032A"/>
    <w:rsid w:val="008125C3"/>
    <w:rsid w:val="00817E2B"/>
    <w:rsid w:val="008204DD"/>
    <w:rsid w:val="00821A83"/>
    <w:rsid w:val="008224FD"/>
    <w:rsid w:val="008249D5"/>
    <w:rsid w:val="0083099E"/>
    <w:rsid w:val="0083694C"/>
    <w:rsid w:val="00837A93"/>
    <w:rsid w:val="00841C24"/>
    <w:rsid w:val="00843415"/>
    <w:rsid w:val="008456E5"/>
    <w:rsid w:val="0084594D"/>
    <w:rsid w:val="008513B4"/>
    <w:rsid w:val="00851D41"/>
    <w:rsid w:val="00852DCA"/>
    <w:rsid w:val="008534B4"/>
    <w:rsid w:val="008623BC"/>
    <w:rsid w:val="008655E8"/>
    <w:rsid w:val="00870322"/>
    <w:rsid w:val="0087044A"/>
    <w:rsid w:val="0087387B"/>
    <w:rsid w:val="0087589E"/>
    <w:rsid w:val="0087788E"/>
    <w:rsid w:val="00877E34"/>
    <w:rsid w:val="00880FD6"/>
    <w:rsid w:val="00887561"/>
    <w:rsid w:val="00890BAC"/>
    <w:rsid w:val="008913AE"/>
    <w:rsid w:val="0089314F"/>
    <w:rsid w:val="008A4BE3"/>
    <w:rsid w:val="008A780F"/>
    <w:rsid w:val="008C0AA1"/>
    <w:rsid w:val="008C45A4"/>
    <w:rsid w:val="008C6FCA"/>
    <w:rsid w:val="008C7EFB"/>
    <w:rsid w:val="008E3E30"/>
    <w:rsid w:val="008F54B0"/>
    <w:rsid w:val="0090140D"/>
    <w:rsid w:val="009015CB"/>
    <w:rsid w:val="009018F7"/>
    <w:rsid w:val="00910D72"/>
    <w:rsid w:val="00912F84"/>
    <w:rsid w:val="00913A39"/>
    <w:rsid w:val="00916198"/>
    <w:rsid w:val="009229C3"/>
    <w:rsid w:val="00926E75"/>
    <w:rsid w:val="00930FE2"/>
    <w:rsid w:val="009318E6"/>
    <w:rsid w:val="009327A5"/>
    <w:rsid w:val="009328C6"/>
    <w:rsid w:val="00932F3F"/>
    <w:rsid w:val="00933364"/>
    <w:rsid w:val="00934606"/>
    <w:rsid w:val="009455B2"/>
    <w:rsid w:val="00946E5B"/>
    <w:rsid w:val="0095341B"/>
    <w:rsid w:val="009544C1"/>
    <w:rsid w:val="0097157D"/>
    <w:rsid w:val="00972162"/>
    <w:rsid w:val="0097386D"/>
    <w:rsid w:val="009901B4"/>
    <w:rsid w:val="00990B89"/>
    <w:rsid w:val="00992C1D"/>
    <w:rsid w:val="00996B87"/>
    <w:rsid w:val="009A34B6"/>
    <w:rsid w:val="009B206E"/>
    <w:rsid w:val="009B3080"/>
    <w:rsid w:val="009C221D"/>
    <w:rsid w:val="009C36B0"/>
    <w:rsid w:val="009C51BC"/>
    <w:rsid w:val="009C7203"/>
    <w:rsid w:val="009D0DDF"/>
    <w:rsid w:val="009D2C6E"/>
    <w:rsid w:val="009D7E4D"/>
    <w:rsid w:val="009E0938"/>
    <w:rsid w:val="009E36B8"/>
    <w:rsid w:val="009E3916"/>
    <w:rsid w:val="009E4117"/>
    <w:rsid w:val="009F68F3"/>
    <w:rsid w:val="00A01AD3"/>
    <w:rsid w:val="00A01D94"/>
    <w:rsid w:val="00A05055"/>
    <w:rsid w:val="00A06E71"/>
    <w:rsid w:val="00A06FA2"/>
    <w:rsid w:val="00A1321F"/>
    <w:rsid w:val="00A22978"/>
    <w:rsid w:val="00A23808"/>
    <w:rsid w:val="00A26017"/>
    <w:rsid w:val="00A308C8"/>
    <w:rsid w:val="00A36CB1"/>
    <w:rsid w:val="00A42287"/>
    <w:rsid w:val="00A43EB2"/>
    <w:rsid w:val="00A44FD4"/>
    <w:rsid w:val="00A47A17"/>
    <w:rsid w:val="00A47B5D"/>
    <w:rsid w:val="00A56990"/>
    <w:rsid w:val="00A60543"/>
    <w:rsid w:val="00A77640"/>
    <w:rsid w:val="00A83646"/>
    <w:rsid w:val="00A861C1"/>
    <w:rsid w:val="00A86570"/>
    <w:rsid w:val="00A86E2F"/>
    <w:rsid w:val="00A87DC3"/>
    <w:rsid w:val="00A9225F"/>
    <w:rsid w:val="00A92E2A"/>
    <w:rsid w:val="00A97234"/>
    <w:rsid w:val="00AA058E"/>
    <w:rsid w:val="00AA4AC2"/>
    <w:rsid w:val="00AA4AFA"/>
    <w:rsid w:val="00AB206C"/>
    <w:rsid w:val="00AB39C4"/>
    <w:rsid w:val="00AC24BB"/>
    <w:rsid w:val="00AC3E56"/>
    <w:rsid w:val="00AC4278"/>
    <w:rsid w:val="00AD1ECE"/>
    <w:rsid w:val="00AD2760"/>
    <w:rsid w:val="00AD65CB"/>
    <w:rsid w:val="00AD787B"/>
    <w:rsid w:val="00AE62C8"/>
    <w:rsid w:val="00AE7122"/>
    <w:rsid w:val="00AF1218"/>
    <w:rsid w:val="00AF488A"/>
    <w:rsid w:val="00AF53BF"/>
    <w:rsid w:val="00AF5B0A"/>
    <w:rsid w:val="00B11DAF"/>
    <w:rsid w:val="00B15F06"/>
    <w:rsid w:val="00B16633"/>
    <w:rsid w:val="00B22713"/>
    <w:rsid w:val="00B23B7D"/>
    <w:rsid w:val="00B24973"/>
    <w:rsid w:val="00B26A10"/>
    <w:rsid w:val="00B27ADA"/>
    <w:rsid w:val="00B3271D"/>
    <w:rsid w:val="00B32EFC"/>
    <w:rsid w:val="00B33F0C"/>
    <w:rsid w:val="00B411A7"/>
    <w:rsid w:val="00B41D20"/>
    <w:rsid w:val="00B42A4B"/>
    <w:rsid w:val="00B55D2E"/>
    <w:rsid w:val="00B60329"/>
    <w:rsid w:val="00B63FFD"/>
    <w:rsid w:val="00B655FB"/>
    <w:rsid w:val="00B72CA6"/>
    <w:rsid w:val="00B76FF7"/>
    <w:rsid w:val="00B83A69"/>
    <w:rsid w:val="00B8487D"/>
    <w:rsid w:val="00B932C5"/>
    <w:rsid w:val="00BB23C4"/>
    <w:rsid w:val="00BB34FC"/>
    <w:rsid w:val="00BB4DFF"/>
    <w:rsid w:val="00BC09CE"/>
    <w:rsid w:val="00BD4B1F"/>
    <w:rsid w:val="00BD536D"/>
    <w:rsid w:val="00BD6B3D"/>
    <w:rsid w:val="00BE37CD"/>
    <w:rsid w:val="00BE6FCF"/>
    <w:rsid w:val="00BF2599"/>
    <w:rsid w:val="00BF3DD0"/>
    <w:rsid w:val="00C02F8F"/>
    <w:rsid w:val="00C04882"/>
    <w:rsid w:val="00C05585"/>
    <w:rsid w:val="00C12F96"/>
    <w:rsid w:val="00C14DE6"/>
    <w:rsid w:val="00C15100"/>
    <w:rsid w:val="00C15B37"/>
    <w:rsid w:val="00C17DD5"/>
    <w:rsid w:val="00C2027B"/>
    <w:rsid w:val="00C22E58"/>
    <w:rsid w:val="00C2301A"/>
    <w:rsid w:val="00C2527D"/>
    <w:rsid w:val="00C311AE"/>
    <w:rsid w:val="00C31D90"/>
    <w:rsid w:val="00C3408B"/>
    <w:rsid w:val="00C45F46"/>
    <w:rsid w:val="00C460FB"/>
    <w:rsid w:val="00C52C64"/>
    <w:rsid w:val="00C53190"/>
    <w:rsid w:val="00C54BD1"/>
    <w:rsid w:val="00C73BF1"/>
    <w:rsid w:val="00C74622"/>
    <w:rsid w:val="00C85D59"/>
    <w:rsid w:val="00C9407B"/>
    <w:rsid w:val="00C97EB1"/>
    <w:rsid w:val="00CA4BF7"/>
    <w:rsid w:val="00CB5163"/>
    <w:rsid w:val="00CB7DDD"/>
    <w:rsid w:val="00CC31E1"/>
    <w:rsid w:val="00CC7196"/>
    <w:rsid w:val="00CD4CC1"/>
    <w:rsid w:val="00CE6CA1"/>
    <w:rsid w:val="00CF0728"/>
    <w:rsid w:val="00CF1FF1"/>
    <w:rsid w:val="00CF49F0"/>
    <w:rsid w:val="00CF6771"/>
    <w:rsid w:val="00D10C1E"/>
    <w:rsid w:val="00D17C08"/>
    <w:rsid w:val="00D2408B"/>
    <w:rsid w:val="00D26867"/>
    <w:rsid w:val="00D30CA2"/>
    <w:rsid w:val="00D37A50"/>
    <w:rsid w:val="00D43FF2"/>
    <w:rsid w:val="00D4559A"/>
    <w:rsid w:val="00D457AA"/>
    <w:rsid w:val="00D50E60"/>
    <w:rsid w:val="00D53CEA"/>
    <w:rsid w:val="00D5710D"/>
    <w:rsid w:val="00D662C4"/>
    <w:rsid w:val="00D7118B"/>
    <w:rsid w:val="00D71C61"/>
    <w:rsid w:val="00D72EAD"/>
    <w:rsid w:val="00D75725"/>
    <w:rsid w:val="00D77109"/>
    <w:rsid w:val="00D806FB"/>
    <w:rsid w:val="00D80D55"/>
    <w:rsid w:val="00D82875"/>
    <w:rsid w:val="00D84C39"/>
    <w:rsid w:val="00D86918"/>
    <w:rsid w:val="00DA276F"/>
    <w:rsid w:val="00DA5CCE"/>
    <w:rsid w:val="00DA6A22"/>
    <w:rsid w:val="00DB0187"/>
    <w:rsid w:val="00DB6D15"/>
    <w:rsid w:val="00DC4BA6"/>
    <w:rsid w:val="00DC6472"/>
    <w:rsid w:val="00DD06AC"/>
    <w:rsid w:val="00DD2C16"/>
    <w:rsid w:val="00DE2B62"/>
    <w:rsid w:val="00DE355D"/>
    <w:rsid w:val="00DE4199"/>
    <w:rsid w:val="00DE63D5"/>
    <w:rsid w:val="00DE7C26"/>
    <w:rsid w:val="00DF00F2"/>
    <w:rsid w:val="00DF414F"/>
    <w:rsid w:val="00DF69D2"/>
    <w:rsid w:val="00E03E75"/>
    <w:rsid w:val="00E0439E"/>
    <w:rsid w:val="00E0448C"/>
    <w:rsid w:val="00E048DC"/>
    <w:rsid w:val="00E0557E"/>
    <w:rsid w:val="00E107BE"/>
    <w:rsid w:val="00E107F3"/>
    <w:rsid w:val="00E143B7"/>
    <w:rsid w:val="00E20570"/>
    <w:rsid w:val="00E238D4"/>
    <w:rsid w:val="00E250D9"/>
    <w:rsid w:val="00E30EF0"/>
    <w:rsid w:val="00E31E47"/>
    <w:rsid w:val="00E31FFA"/>
    <w:rsid w:val="00E34A5F"/>
    <w:rsid w:val="00E363C4"/>
    <w:rsid w:val="00E41B19"/>
    <w:rsid w:val="00E537EC"/>
    <w:rsid w:val="00E53A0F"/>
    <w:rsid w:val="00E5456B"/>
    <w:rsid w:val="00E6601A"/>
    <w:rsid w:val="00E67DA6"/>
    <w:rsid w:val="00E71157"/>
    <w:rsid w:val="00E711AF"/>
    <w:rsid w:val="00E7281D"/>
    <w:rsid w:val="00E739CB"/>
    <w:rsid w:val="00E75387"/>
    <w:rsid w:val="00E759A3"/>
    <w:rsid w:val="00E76360"/>
    <w:rsid w:val="00E76A01"/>
    <w:rsid w:val="00E83264"/>
    <w:rsid w:val="00E846B9"/>
    <w:rsid w:val="00E86487"/>
    <w:rsid w:val="00E932E6"/>
    <w:rsid w:val="00EB3B44"/>
    <w:rsid w:val="00EB5178"/>
    <w:rsid w:val="00EB717D"/>
    <w:rsid w:val="00EC4337"/>
    <w:rsid w:val="00ED1A51"/>
    <w:rsid w:val="00ED561D"/>
    <w:rsid w:val="00EF0610"/>
    <w:rsid w:val="00EF3692"/>
    <w:rsid w:val="00EF52F6"/>
    <w:rsid w:val="00EF5B2F"/>
    <w:rsid w:val="00EF5D4D"/>
    <w:rsid w:val="00EF6075"/>
    <w:rsid w:val="00F00214"/>
    <w:rsid w:val="00F118D1"/>
    <w:rsid w:val="00F15D21"/>
    <w:rsid w:val="00F237CA"/>
    <w:rsid w:val="00F257D5"/>
    <w:rsid w:val="00F26259"/>
    <w:rsid w:val="00F3133A"/>
    <w:rsid w:val="00F31477"/>
    <w:rsid w:val="00F314F7"/>
    <w:rsid w:val="00F3160B"/>
    <w:rsid w:val="00F33321"/>
    <w:rsid w:val="00F33C40"/>
    <w:rsid w:val="00F349F2"/>
    <w:rsid w:val="00F3669E"/>
    <w:rsid w:val="00F43FE4"/>
    <w:rsid w:val="00F51E05"/>
    <w:rsid w:val="00F52E56"/>
    <w:rsid w:val="00F5446E"/>
    <w:rsid w:val="00F6676F"/>
    <w:rsid w:val="00F67604"/>
    <w:rsid w:val="00F71288"/>
    <w:rsid w:val="00F71791"/>
    <w:rsid w:val="00F81E1B"/>
    <w:rsid w:val="00F825A7"/>
    <w:rsid w:val="00F86C89"/>
    <w:rsid w:val="00F9258E"/>
    <w:rsid w:val="00F92CCF"/>
    <w:rsid w:val="00F93EE0"/>
    <w:rsid w:val="00F93FE0"/>
    <w:rsid w:val="00F9685C"/>
    <w:rsid w:val="00F97743"/>
    <w:rsid w:val="00FA1734"/>
    <w:rsid w:val="00FB3AF4"/>
    <w:rsid w:val="00FB5A3C"/>
    <w:rsid w:val="00FC1DEA"/>
    <w:rsid w:val="00FC22C0"/>
    <w:rsid w:val="00FC399F"/>
    <w:rsid w:val="00FC4092"/>
    <w:rsid w:val="00FD0C75"/>
    <w:rsid w:val="00FD3A0A"/>
    <w:rsid w:val="00FE02B6"/>
    <w:rsid w:val="00FE1AFC"/>
    <w:rsid w:val="00FE2F1C"/>
    <w:rsid w:val="00FE32BC"/>
    <w:rsid w:val="00FF2843"/>
    <w:rsid w:val="00FF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BD1C965"/>
  <w15:docId w15:val="{8477B4F0-747F-4F43-8DAF-9D02645C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7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C2AC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locked/>
    <w:rsid w:val="006C2ACE"/>
    <w:rPr>
      <w:rFonts w:ascii="Segoe UI" w:hAnsi="Segoe UI" w:cs="Times New Roman"/>
      <w:sz w:val="18"/>
    </w:rPr>
  </w:style>
  <w:style w:type="table" w:styleId="a5">
    <w:name w:val="Table Grid"/>
    <w:basedOn w:val="a1"/>
    <w:uiPriority w:val="99"/>
    <w:rsid w:val="00E10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71402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471402"/>
    <w:rPr>
      <w:rFonts w:cs="Times New Roman"/>
      <w:sz w:val="24"/>
    </w:rPr>
  </w:style>
  <w:style w:type="paragraph" w:styleId="a8">
    <w:name w:val="List Paragraph"/>
    <w:basedOn w:val="a"/>
    <w:uiPriority w:val="99"/>
    <w:qFormat/>
    <w:rsid w:val="00DC6472"/>
    <w:pPr>
      <w:ind w:left="720"/>
      <w:contextualSpacing/>
    </w:pPr>
  </w:style>
  <w:style w:type="paragraph" w:styleId="a9">
    <w:name w:val="header"/>
    <w:basedOn w:val="a"/>
    <w:link w:val="aa"/>
    <w:uiPriority w:val="99"/>
    <w:rsid w:val="0008527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085271"/>
    <w:rPr>
      <w:rFonts w:cs="Times New Roman"/>
      <w:sz w:val="24"/>
    </w:rPr>
  </w:style>
  <w:style w:type="paragraph" w:styleId="ab">
    <w:name w:val="footer"/>
    <w:basedOn w:val="a"/>
    <w:link w:val="ac"/>
    <w:uiPriority w:val="99"/>
    <w:rsid w:val="000852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085271"/>
    <w:rPr>
      <w:rFonts w:cs="Times New Roman"/>
      <w:sz w:val="24"/>
    </w:rPr>
  </w:style>
  <w:style w:type="paragraph" w:customStyle="1" w:styleId="1">
    <w:name w:val="Знак Знак Знак Знак Знак Знак Знак Знак Знак Знак Знак Знак Знак Знак Знак1 Знак Знак Знак Знак Знак Знак"/>
    <w:basedOn w:val="a"/>
    <w:uiPriority w:val="99"/>
    <w:rsid w:val="00E34A5F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0">
    <w:name w:val="Абзац списка1"/>
    <w:basedOn w:val="a"/>
    <w:uiPriority w:val="99"/>
    <w:rsid w:val="0069640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4426B-0DF2-40DC-AAD3-3F7D9A09F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3507</TotalTime>
  <Pages>4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2014 году по Тихвинскому району и  Тихвинскому городскому поселению предусмотрены к финансированию 20  муниципальных программ</vt:lpstr>
    </vt:vector>
  </TitlesOfParts>
  <Company>2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2014 году по Тихвинскому району и  Тихвинскому городскому поселению предусмотрены к финансированию 20  муниципальных программ</dc:title>
  <dc:subject/>
  <dc:creator>econ-1</dc:creator>
  <cp:keywords/>
  <dc:description/>
  <cp:lastModifiedBy>Романова Галина Вячеславовна</cp:lastModifiedBy>
  <cp:revision>289</cp:revision>
  <cp:lastPrinted>2024-02-09T11:57:00Z</cp:lastPrinted>
  <dcterms:created xsi:type="dcterms:W3CDTF">2018-02-21T09:01:00Z</dcterms:created>
  <dcterms:modified xsi:type="dcterms:W3CDTF">2024-02-12T13:28:00Z</dcterms:modified>
</cp:coreProperties>
</file>