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75C0" w:rsidRDefault="00890542" w:rsidP="004C75C0">
      <w:pPr>
        <w:spacing w:after="0" w:line="240" w:lineRule="auto"/>
        <w:rPr>
          <w:rFonts w:ascii="Arial" w:hAnsi="Arial" w:cs="Arial"/>
          <w:b/>
        </w:rPr>
      </w:pPr>
      <w:bookmarkStart w:id="0" w:name="_GoBack"/>
      <w:r>
        <w:rPr>
          <w:rFonts w:ascii="Arial" w:hAnsi="Arial" w:cs="Arial"/>
          <w:b/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935794</wp:posOffset>
            </wp:positionH>
            <wp:positionV relativeFrom="paragraph">
              <wp:posOffset>-2365816</wp:posOffset>
            </wp:positionV>
            <wp:extent cx="7489255" cy="10592125"/>
            <wp:effectExtent l="0" t="8255" r="8255" b="8255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429_0003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495317" cy="106006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4C75C0" w:rsidRDefault="004C75C0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3A1ED2" w:rsidRPr="000D3578" w:rsidRDefault="003A1ED2" w:rsidP="004C75C0">
      <w:pPr>
        <w:spacing w:after="0" w:line="240" w:lineRule="auto"/>
        <w:rPr>
          <w:rFonts w:ascii="Arial" w:hAnsi="Arial" w:cs="Arial"/>
          <w:b/>
        </w:rPr>
      </w:pPr>
      <w:r w:rsidRPr="000D3578">
        <w:rPr>
          <w:rFonts w:ascii="Arial" w:hAnsi="Arial" w:cs="Arial"/>
          <w:b/>
        </w:rPr>
        <w:lastRenderedPageBreak/>
        <w:t>Тихвинский район</w:t>
      </w:r>
      <w:r w:rsidR="000D3578" w:rsidRPr="000D3578">
        <w:rPr>
          <w:rFonts w:ascii="Arial" w:hAnsi="Arial" w:cs="Arial"/>
          <w:b/>
        </w:rPr>
        <w:t>.</w:t>
      </w:r>
      <w:r w:rsidRPr="000D3578">
        <w:rPr>
          <w:rFonts w:ascii="Arial" w:hAnsi="Arial" w:cs="Arial"/>
          <w:b/>
        </w:rPr>
        <w:t xml:space="preserve"> </w:t>
      </w:r>
      <w:r w:rsidR="0033659C" w:rsidRPr="000D3578">
        <w:rPr>
          <w:rFonts w:ascii="Arial" w:hAnsi="Arial" w:cs="Arial"/>
          <w:b/>
        </w:rPr>
        <w:t xml:space="preserve">Период: </w:t>
      </w:r>
      <w:r w:rsidRPr="000D3578">
        <w:rPr>
          <w:rFonts w:ascii="Arial" w:hAnsi="Arial" w:cs="Arial"/>
          <w:b/>
        </w:rPr>
        <w:t>с 01.01.20</w:t>
      </w:r>
      <w:r w:rsidR="00150D96">
        <w:rPr>
          <w:rFonts w:ascii="Arial" w:hAnsi="Arial" w:cs="Arial"/>
          <w:b/>
        </w:rPr>
        <w:t>21</w:t>
      </w:r>
      <w:r w:rsidRPr="000D3578">
        <w:rPr>
          <w:rFonts w:ascii="Arial" w:hAnsi="Arial" w:cs="Arial"/>
          <w:b/>
        </w:rPr>
        <w:t xml:space="preserve"> по 31.12.2021</w:t>
      </w:r>
    </w:p>
    <w:tbl>
      <w:tblPr>
        <w:tblW w:w="14675" w:type="dxa"/>
        <w:tblInd w:w="113" w:type="dxa"/>
        <w:tblLook w:val="04A0" w:firstRow="1" w:lastRow="0" w:firstColumn="1" w:lastColumn="0" w:noHBand="0" w:noVBand="1"/>
      </w:tblPr>
      <w:tblGrid>
        <w:gridCol w:w="587"/>
        <w:gridCol w:w="3688"/>
        <w:gridCol w:w="1533"/>
        <w:gridCol w:w="1107"/>
        <w:gridCol w:w="1108"/>
        <w:gridCol w:w="1108"/>
        <w:gridCol w:w="1108"/>
        <w:gridCol w:w="1108"/>
        <w:gridCol w:w="1108"/>
        <w:gridCol w:w="2212"/>
        <w:gridCol w:w="8"/>
      </w:tblGrid>
      <w:tr w:rsidR="003A1ED2" w:rsidRPr="003A1ED2" w:rsidTr="003A1ED2">
        <w:trPr>
          <w:gridAfter w:val="1"/>
          <w:wAfter w:w="8" w:type="dxa"/>
          <w:trHeight w:val="526"/>
        </w:trPr>
        <w:tc>
          <w:tcPr>
            <w:tcW w:w="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EEAF6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b/>
                <w:bCs/>
                <w:noProof/>
                <w:color w:val="000000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-281940</wp:posOffset>
                  </wp:positionV>
                  <wp:extent cx="7635240" cy="7635240"/>
                  <wp:effectExtent l="0" t="0" r="0" b="0"/>
                  <wp:wrapNone/>
                  <wp:docPr id="2" name="_xssf_cell_comment" hidden="1"/>
                  <wp:cNvGraphicFramePr>
                    <a:graphicFrameLocks xmlns:a="http://schemas.openxmlformats.org/drawingml/2006/main" noSel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ssf_cell_comment" hidden="1"/>
                          <pic:cNvPicPr>
                            <a:picLocks noSel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5240" cy="76352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A1ED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№</w:t>
            </w:r>
          </w:p>
        </w:tc>
        <w:tc>
          <w:tcPr>
            <w:tcW w:w="36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EEAF6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показателя</w:t>
            </w:r>
          </w:p>
        </w:tc>
        <w:tc>
          <w:tcPr>
            <w:tcW w:w="15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EEAF6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Единица измерения</w:t>
            </w:r>
          </w:p>
        </w:tc>
        <w:tc>
          <w:tcPr>
            <w:tcW w:w="11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EEAF6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2019</w:t>
            </w:r>
          </w:p>
        </w:tc>
        <w:tc>
          <w:tcPr>
            <w:tcW w:w="11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EEAF6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2020</w:t>
            </w:r>
          </w:p>
        </w:tc>
        <w:tc>
          <w:tcPr>
            <w:tcW w:w="11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EEAF6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2021</w:t>
            </w:r>
          </w:p>
        </w:tc>
        <w:tc>
          <w:tcPr>
            <w:tcW w:w="11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EEAF6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2022</w:t>
            </w:r>
          </w:p>
        </w:tc>
        <w:tc>
          <w:tcPr>
            <w:tcW w:w="11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EEAF6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1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EEAF6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221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EEAF6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Примечание</w:t>
            </w:r>
          </w:p>
        </w:tc>
      </w:tr>
      <w:tr w:rsidR="003A1ED2" w:rsidRPr="003A1ED2" w:rsidTr="003A1ED2">
        <w:trPr>
          <w:gridAfter w:val="1"/>
          <w:wAfter w:w="8" w:type="dxa"/>
          <w:trHeight w:val="287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10</w:t>
            </w:r>
          </w:p>
        </w:tc>
      </w:tr>
      <w:tr w:rsidR="003A1ED2" w:rsidRPr="003A1ED2" w:rsidTr="003A1ED2">
        <w:trPr>
          <w:trHeight w:val="287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088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I. Экономическое развитие</w:t>
            </w:r>
          </w:p>
        </w:tc>
      </w:tr>
      <w:tr w:rsidR="003A1ED2" w:rsidRPr="003A1ED2" w:rsidTr="003A7606">
        <w:trPr>
          <w:gridAfter w:val="1"/>
          <w:wAfter w:w="8" w:type="dxa"/>
          <w:trHeight w:val="531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Число субъектов малого и среднего предпринимательства в расчете на 10 тыс. человек населения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единиц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301,30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296,30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301,30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301,30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304,30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306,60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1379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Доля среднесписочной численности работников (без внешних совместителей) малых и средних предприятий в среднесписочной численности работников (без внешних совместителей) всех предприятий и организаций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25,70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28,97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32,27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32,96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32,98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33,00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620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Объем инвестиций в основной капитал (за исключением бюджетных средств) в расчете на 1 жителя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рублей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82530,00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21160,00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26849,00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25341,00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30290,00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34259,00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898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4.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Доля площади земельных участков, являющихся объектами налогообложения земельным налогом, в общей площади территории городского округа (муниципального района)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78,00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80,43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80,45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80,47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80,49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80,51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573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Доля прибыльных сельскохозяйственных организаций в общем их числе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75,00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80,00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80,00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1205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6.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Доля протяженности автомобильных дорог общего пользования местного значения, не отвечающих нормативным требованиям, в общей протяженности автомобильных дорог общего пользования местного значения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57,80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56,87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79635C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54,38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54,20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54,00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53,80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416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7.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Доля населения, проживающего в населенных пунктах, не имеющих регулярного автобусного и (или) железнодорожного сообщения с административным центром городского округа (муниципального района), в общей численности населения городского округа (муниципального района)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1,03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0,91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0,91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0,91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0,91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0,91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557"/>
        </w:trPr>
        <w:tc>
          <w:tcPr>
            <w:tcW w:w="587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8.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Среднемесячная номинальная начисленная заработная плата работников: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362"/>
        </w:trPr>
        <w:tc>
          <w:tcPr>
            <w:tcW w:w="58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крупных и средних предприятий и некоммерческих организаций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рублей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48940,00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47190,00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51001,00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52000,00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54000,00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56050,00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224"/>
        </w:trPr>
        <w:tc>
          <w:tcPr>
            <w:tcW w:w="58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муниципальных дошкольных образовательных учреждений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рублей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28697,00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31673,60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32804,00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33460,10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34130,30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34814,00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373"/>
        </w:trPr>
        <w:tc>
          <w:tcPr>
            <w:tcW w:w="58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муниципальных общеобразовательных учреждений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рублей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40646,00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41083,00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44750,00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46540,00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48401,60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50338,00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364"/>
        </w:trPr>
        <w:tc>
          <w:tcPr>
            <w:tcW w:w="58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учителей муниципальных общеобразовательных учреждений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рублей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44594,80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47022,60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48192,90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49150,00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50133,00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51136,00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371"/>
        </w:trPr>
        <w:tc>
          <w:tcPr>
            <w:tcW w:w="58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муниципальных учреждений культуры и искусства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рублей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36924,00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38221,00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39108,00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40000,00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41600,00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43264,00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379"/>
        </w:trPr>
        <w:tc>
          <w:tcPr>
            <w:tcW w:w="58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муниципальных учреждений физической культуры и спорта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рублей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29343,00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30411,00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33023,00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34344,00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35718,00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37147,00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1ED2">
        <w:trPr>
          <w:trHeight w:val="287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Calibri" w:eastAsia="Times New Roman" w:hAnsi="Calibri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Calibri" w:eastAsia="Times New Roman" w:hAnsi="Calibri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088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II. Дошкольное образование</w:t>
            </w:r>
          </w:p>
        </w:tc>
      </w:tr>
      <w:tr w:rsidR="003A1ED2" w:rsidRPr="003A1ED2" w:rsidTr="003A7606">
        <w:trPr>
          <w:gridAfter w:val="1"/>
          <w:wAfter w:w="8" w:type="dxa"/>
          <w:trHeight w:val="1209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9.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Доля детей в возрасте 1 - 6 лет, получающих дошкольную образовательную услугу и (или) услугу по их содержанию в муниципальных образовательных учреждениях в общей численности детей в возрасте 1 - 6 лет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91,70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93,00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94,00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94,00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94,00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94,00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802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10.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Доля детей в возрасте 1 - 6 лет, стоящих на учете для определения в муниципальные дошкольные образовательные учреждения, в общей численности детей в возрасте 1 - 6 лет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1,09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1455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11.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Доля муниципальных дошкольных образовательных учреждений, здания которых находятся в аварийном состоянии или требуют капитального ремонта, в общем числе муниципальных дошкольных образовательных учреждений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14,30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14,30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14,30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14,30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14,30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1ED2">
        <w:trPr>
          <w:trHeight w:val="287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Calibri" w:eastAsia="Times New Roman" w:hAnsi="Calibri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Calibri" w:eastAsia="Times New Roman" w:hAnsi="Calibri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088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III. Общее и дополнительное образование</w:t>
            </w:r>
          </w:p>
        </w:tc>
      </w:tr>
      <w:tr w:rsidR="003A1ED2" w:rsidRPr="003A1ED2" w:rsidTr="003A7606">
        <w:trPr>
          <w:gridAfter w:val="1"/>
          <w:wAfter w:w="8" w:type="dxa"/>
          <w:trHeight w:val="1833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12.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Доля выпускников муниципальных общеобразовательных учреждений, сдавших единый государственный экзамен по русскому языку и математике, в общей численности выпускников муниципальных общеобразовательных учреждений, сдававших единый государствен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ный экзамен по данным предметам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7606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3A7606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отменен</w:t>
            </w:r>
          </w:p>
        </w:tc>
      </w:tr>
      <w:tr w:rsidR="003A1ED2" w:rsidRPr="003A1ED2" w:rsidTr="003A7606">
        <w:trPr>
          <w:gridAfter w:val="1"/>
          <w:wAfter w:w="8" w:type="dxa"/>
          <w:trHeight w:val="1408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lastRenderedPageBreak/>
              <w:t>13.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Доля выпускников муниципальных общеобразовательных учреждений, не получивших аттестат о среднем (полном) образовании, в общей численности выпускников муниципальных общеобразовательных учреждений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1096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14.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Доля муниципальных общеобразовательных учреждений, соответствующих современным требованиям обучения, в общем количестве муниципальных общеобразовательных учреждений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99,50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99,80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СОШ №6 вкл. в программу реновации</w:t>
            </w:r>
          </w:p>
        </w:tc>
      </w:tr>
      <w:tr w:rsidR="003A1ED2" w:rsidRPr="003A1ED2" w:rsidTr="003A7606">
        <w:trPr>
          <w:gridAfter w:val="1"/>
          <w:wAfter w:w="8" w:type="dxa"/>
          <w:trHeight w:val="1397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15.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Доля муниципальных общеобразовательных учреждений, здания которых находятся в аварийном состоянии или требуют капитального ремонта, в общем количестве муниципальных общеобразовательных учреждений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0,50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0,50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5,50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5,50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5,50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5,50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794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16.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Доля детей первой и второй групп здоровья в общей численности обучающихся в муниципальных общеобразовательных учреждениях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91,50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84,60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88,80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89,40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89,70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89,90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1231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17.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Доля обучающихся в муниципальных общеобразовательных учреждениях, занимающихся во вторую (третью) смену, в общей численности обучающихся в муниципальных общеобразовательных учреждениях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1108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18.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Расходы бюджета муниципального образования на общее образование в расчете на 1 обучающегося в муниципальных общеобразовательных учреждениях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тыс. рублей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19,70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23,40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24,93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24,93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24,93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24,93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1549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19.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Доля детей в возрасте 5 - 18 лет, получающих услуги по дополнительному образованию в организациях различной организационно-правовой формы и формы собственности, в общей численности детей данной возрастной группы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75,50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77,50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77,80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80,40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80,60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83,60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1ED2">
        <w:trPr>
          <w:trHeight w:val="287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Calibri" w:eastAsia="Times New Roman" w:hAnsi="Calibri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Calibri" w:eastAsia="Times New Roman" w:hAnsi="Calibri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088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IV. Культура</w:t>
            </w:r>
          </w:p>
        </w:tc>
      </w:tr>
      <w:tr w:rsidR="003A1ED2" w:rsidRPr="003A1ED2" w:rsidTr="003A7606">
        <w:trPr>
          <w:gridAfter w:val="1"/>
          <w:wAfter w:w="8" w:type="dxa"/>
          <w:trHeight w:val="557"/>
        </w:trPr>
        <w:tc>
          <w:tcPr>
            <w:tcW w:w="587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lastRenderedPageBreak/>
              <w:t>20.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Уровень фактической обеспеченности учреждениями культуры от нормативной потребности: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287"/>
        </w:trPr>
        <w:tc>
          <w:tcPr>
            <w:tcW w:w="58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клубами и учреждений клубного типа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97,00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98,00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96,93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96,93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96,93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96,93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287"/>
        </w:trPr>
        <w:tc>
          <w:tcPr>
            <w:tcW w:w="58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библиотеками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89,00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98,00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98,00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98,00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98,00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98,00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287"/>
        </w:trPr>
        <w:tc>
          <w:tcPr>
            <w:tcW w:w="58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парками культуры и отдыха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1168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21.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Доля муниципальных учреждений культуры, здания которых находятся в аварийном состоянии или требуют капитального ремонта, в общем количестве муниципальных учреждений культуры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34,48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41,38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34,48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34,48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34,48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31,03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1483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22.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Доля объектов культурного наследия, находящихся в муниципальной собственности и требующих консервации или реставрации, в общем количестве объектов культурного наследия, находящихся в муниципальной собственности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25,49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12,24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5,26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5,26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5,26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5,26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1ED2">
        <w:trPr>
          <w:trHeight w:val="287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Calibri" w:eastAsia="Times New Roman" w:hAnsi="Calibri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Calibri" w:eastAsia="Times New Roman" w:hAnsi="Calibri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088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V. Физическая культура и спорт</w:t>
            </w:r>
          </w:p>
        </w:tc>
      </w:tr>
      <w:tr w:rsidR="003A1ED2" w:rsidRPr="003A1ED2" w:rsidTr="003A7606">
        <w:trPr>
          <w:gridAfter w:val="1"/>
          <w:wAfter w:w="8" w:type="dxa"/>
          <w:trHeight w:val="544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23.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Доля населения, систематически занимающегося физической культурой и спортом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34,13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35,26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37,69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41,00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44,00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48,00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766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23.1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Доля обучающихся, систематически занимающихся физической культурой и спортом, в общей численности обучающихся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82,60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94,47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98,84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98,84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98,84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98,84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1ED2">
        <w:trPr>
          <w:trHeight w:val="287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Calibri" w:eastAsia="Times New Roman" w:hAnsi="Calibri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Calibri" w:eastAsia="Times New Roman" w:hAnsi="Calibri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088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bottom"/>
            <w:hideMark/>
          </w:tcPr>
          <w:p w:rsidR="003A1ED2" w:rsidRPr="0079635C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VI. Жилищное строительство и обеспечение граждан жильем</w:t>
            </w:r>
          </w:p>
        </w:tc>
      </w:tr>
      <w:tr w:rsidR="003A1ED2" w:rsidRPr="003A1ED2" w:rsidTr="003A7606">
        <w:trPr>
          <w:gridAfter w:val="1"/>
          <w:wAfter w:w="8" w:type="dxa"/>
          <w:trHeight w:val="612"/>
        </w:trPr>
        <w:tc>
          <w:tcPr>
            <w:tcW w:w="587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24.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Общая площадь жилых помещений, приходящаяся в среднем на одного жителя - всего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кв. метров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32,62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32,88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33,51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34,08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34,43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34,84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статистические данные по показателям будут в мае</w:t>
            </w:r>
          </w:p>
        </w:tc>
      </w:tr>
      <w:tr w:rsidR="003A1ED2" w:rsidRPr="003A1ED2" w:rsidTr="003A7606">
        <w:trPr>
          <w:gridAfter w:val="1"/>
          <w:wAfter w:w="8" w:type="dxa"/>
          <w:trHeight w:val="267"/>
        </w:trPr>
        <w:tc>
          <w:tcPr>
            <w:tcW w:w="58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в том числе введенная в действие за год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к</w:t>
            </w: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в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.</w:t>
            </w: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 xml:space="preserve"> метров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0,26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0,27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852"/>
        </w:trPr>
        <w:tc>
          <w:tcPr>
            <w:tcW w:w="58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25.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Площадь земельных участков, предоставленных для строительства в расчете на 10 тыс. человек населения, - всего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гектаров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3,06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1,98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1,76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1,70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1,60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1,50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983"/>
        </w:trPr>
        <w:tc>
          <w:tcPr>
            <w:tcW w:w="58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25.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в том числе земельных участков, предоставленных для жилищного строительства, индивидуального строительства и комплексного освоения в целях жилищного строительства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гектаров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2,36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1,77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1,28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1,50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1,40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1,30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1550"/>
        </w:trPr>
        <w:tc>
          <w:tcPr>
            <w:tcW w:w="58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lastRenderedPageBreak/>
              <w:t>26.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Площадь земельных участков, предоставленных для строительства, в отношении которых с даты принятия решения о предоставлении земельного участка или подписания протокола о результатах торгов (конкурсов, аукционов) не было получено разрешение на ввод в эксплуатацию: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305"/>
        </w:trPr>
        <w:tc>
          <w:tcPr>
            <w:tcW w:w="58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объектов жилищного строительства - в течение 3 лет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кв. метров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453"/>
        </w:trPr>
        <w:tc>
          <w:tcPr>
            <w:tcW w:w="58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иных объектов капитального строительства - в течение 5 лет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кв. метров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1ED2">
        <w:trPr>
          <w:trHeight w:val="287"/>
        </w:trPr>
        <w:tc>
          <w:tcPr>
            <w:tcW w:w="58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088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VII. Жилищно-коммунальное хозяйство</w:t>
            </w:r>
          </w:p>
        </w:tc>
      </w:tr>
      <w:tr w:rsidR="003A1ED2" w:rsidRPr="003A1ED2" w:rsidTr="003A7606">
        <w:trPr>
          <w:gridAfter w:val="1"/>
          <w:wAfter w:w="8" w:type="dxa"/>
          <w:trHeight w:val="1541"/>
        </w:trPr>
        <w:tc>
          <w:tcPr>
            <w:tcW w:w="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27.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Доля многоквартирных домов, в которых собственники помещений выбрали и реализуют один из способов управления многоквартирными домами в общем числе многоквартирных домов, в которых собственники помещений должны выбрать способ управления данными домами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4243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28.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 xml:space="preserve">Доля организаций коммунального комплекса, осуществляющих производство товаров, оказание услуг по водо-, тепло-, газо-, электроснабжению, водоотведению, очистке сточных вод, утилизации (захоронению) твердых бытовых отходов и использующих объекты коммунальной </w:t>
            </w:r>
            <w:proofErr w:type="spellStart"/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инфрастуктуры</w:t>
            </w:r>
            <w:proofErr w:type="spellEnd"/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 xml:space="preserve"> на праве частной собственности, по договору аренды или концессии, участие субъекта Российской Федерации и (или) городского округа (муниципального района) в уставном капитале которых составляет не более 25 процентов, в общем числе организаций коммунального комплекса, осуществляющих свою деятельность на территории городского округа (муниципального района)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699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29.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Доля многоквартирных домов, расположенных на земельных участках, в отношении которых осуществлен государственный кадастровый учет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1124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lastRenderedPageBreak/>
              <w:t>30.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Доля населения, получившего жилые помещения и улучшившего жилищные условия в отчетном году, в общей численности населения, состоящего на учете в качестве нуждающегося в жилых помещениях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10,30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11,70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15,00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17,00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18,00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18,00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1ED2">
        <w:trPr>
          <w:trHeight w:val="287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Calibri" w:eastAsia="Times New Roman" w:hAnsi="Calibri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Calibri" w:eastAsia="Times New Roman" w:hAnsi="Calibri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088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VIII. Организация муниципального управления</w:t>
            </w:r>
          </w:p>
        </w:tc>
      </w:tr>
      <w:tr w:rsidR="003A1ED2" w:rsidRPr="003A1ED2" w:rsidTr="003A7606">
        <w:trPr>
          <w:gridAfter w:val="1"/>
          <w:wAfter w:w="8" w:type="dxa"/>
          <w:trHeight w:val="1437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31.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Доля налоговых и неналоговых доходов местного бюджета (за исключением поступлений налоговых доходов по дополнительным нормативам отчислений) в общем объеме собственных доходов бюджета муниципального образования (без учета субвенций)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54,90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52,80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45,84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62,43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65,81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69,28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1319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32.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Доля основных фондов организаций муниципальной формы собственности, находящихся в стадии банкротства, в основных фондах организаций муниципальной формы собственности (на конец года, по полной учетной стоимости)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999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33.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Объем не завершенного в установленные сроки строительства, осуществляемого за счет средств бюджета городского округа (муниципального района)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тыс. рублей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215696,00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223461,00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231729,00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240303,00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249435,00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260343,00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1369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34.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Доля просроченной кредиторской задолженности по оплате труда (включая начисления на оплату труда) муниципальных учреждений в общем объеме расходов муниципального образования на оплату труда (включая начисления на оплату труда)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процентов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1050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35.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Расходы бюджета муниципального образования на содержание работников органов местного самоуправления в расчете на одного жителя муниципального образования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рублей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2609,39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2711,81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2838,90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2898,24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2901,74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2922,97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983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36.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Наличие в городском округе (муниципальном районе) утвержденного генерального плана городского округа (схемы территориального планирования муниципального района)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1=Да / 0=Нет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1,00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841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lastRenderedPageBreak/>
              <w:t>37.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Удовлетворенность населения деятельностью органов местного самоуправления городского округа (муниципального района)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процент от числа опрошенных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75,00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78,00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77,00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77,00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77,00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77,00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435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38.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Среднегодовая численность постоянного населения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тыс. человек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69,50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69,00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68,10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67,50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67,10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66,60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1ED2">
        <w:trPr>
          <w:trHeight w:val="287"/>
        </w:trPr>
        <w:tc>
          <w:tcPr>
            <w:tcW w:w="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Calibri" w:eastAsia="Times New Roman" w:hAnsi="Calibri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Calibri" w:eastAsia="Times New Roman" w:hAnsi="Calibri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088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</w:rPr>
              <w:t>IX. Энергосбережение и повышение энергетической эффективности</w:t>
            </w:r>
          </w:p>
        </w:tc>
      </w:tr>
      <w:tr w:rsidR="003A1ED2" w:rsidRPr="003A1ED2" w:rsidTr="003A7606">
        <w:trPr>
          <w:gridAfter w:val="1"/>
          <w:wAfter w:w="8" w:type="dxa"/>
          <w:trHeight w:val="531"/>
        </w:trPr>
        <w:tc>
          <w:tcPr>
            <w:tcW w:w="587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39.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Удельная величина потребления энергетических ресурсов в многоквартирных домах: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908"/>
        </w:trPr>
        <w:tc>
          <w:tcPr>
            <w:tcW w:w="58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электрическая энергия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кВт/ч на 1 проживающего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587,50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600,00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591,00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591,00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591,00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591,00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Потребление уменьшилось в связи с реализованными мероприятиями по энергосбережению</w:t>
            </w:r>
          </w:p>
        </w:tc>
      </w:tr>
      <w:tr w:rsidR="003A1ED2" w:rsidRPr="003A1ED2" w:rsidTr="003A7606">
        <w:trPr>
          <w:gridAfter w:val="1"/>
          <w:wAfter w:w="8" w:type="dxa"/>
          <w:trHeight w:val="700"/>
        </w:trPr>
        <w:tc>
          <w:tcPr>
            <w:tcW w:w="58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тепловая энергия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Гкал на 1 кв. метр общей площади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15,00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0,17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0,17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0,17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0,17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0,17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710"/>
        </w:trPr>
        <w:tc>
          <w:tcPr>
            <w:tcW w:w="58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горячая вода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куб. метров на 1 проживающего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1,40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1,40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1,40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1,40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1,40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1,40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1680"/>
        </w:trPr>
        <w:tc>
          <w:tcPr>
            <w:tcW w:w="58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холодная вода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куб. метров на 1 проживающего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46,40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46,40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47,10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47,10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47,10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47,10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 xml:space="preserve">Потребление возросло в связи с нахождением жителей в период </w:t>
            </w:r>
            <w:proofErr w:type="spellStart"/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локдауна</w:t>
            </w:r>
            <w:proofErr w:type="spellEnd"/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 xml:space="preserve"> на </w:t>
            </w:r>
            <w:proofErr w:type="spellStart"/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удаленном</w:t>
            </w:r>
            <w:proofErr w:type="spellEnd"/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 xml:space="preserve"> режиме работы, а также в связи с аварийными ситуациями.</w:t>
            </w:r>
          </w:p>
        </w:tc>
      </w:tr>
      <w:tr w:rsidR="003A1ED2" w:rsidRPr="003A1ED2" w:rsidTr="003A7606">
        <w:trPr>
          <w:gridAfter w:val="1"/>
          <w:wAfter w:w="8" w:type="dxa"/>
          <w:trHeight w:val="1265"/>
        </w:trPr>
        <w:tc>
          <w:tcPr>
            <w:tcW w:w="58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природный газ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куб. метров на 1 проживающего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89,40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89,40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94,50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94,50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94,50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94,50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Потребление газа возросло в связи с пониженными температурами наружного воздуха в отопительный период.</w:t>
            </w:r>
          </w:p>
        </w:tc>
      </w:tr>
      <w:tr w:rsidR="003A1ED2" w:rsidRPr="003A1ED2" w:rsidTr="003A7606">
        <w:trPr>
          <w:gridAfter w:val="1"/>
          <w:wAfter w:w="8" w:type="dxa"/>
          <w:trHeight w:val="702"/>
        </w:trPr>
        <w:tc>
          <w:tcPr>
            <w:tcW w:w="587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40.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Удельная величина потребления энергетических ресурсов муниципальными бюджетными учреждениями: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682"/>
        </w:trPr>
        <w:tc>
          <w:tcPr>
            <w:tcW w:w="58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электрическая энергия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кВт/ч на 1 человека населения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53,50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44,94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54,40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54,54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54,40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54,04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699"/>
        </w:trPr>
        <w:tc>
          <w:tcPr>
            <w:tcW w:w="58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тепловая энергия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Гкал на 1 кв. метр общей площади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0,17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575"/>
        </w:trPr>
        <w:tc>
          <w:tcPr>
            <w:tcW w:w="58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горячая вода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куб. метров на 1 человека населения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0,02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0,36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0,40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0,40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0,40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0,40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641"/>
        </w:trPr>
        <w:tc>
          <w:tcPr>
            <w:tcW w:w="58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холодная вода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куб. метров на 1 человека населения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0,87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0,73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0,84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0,84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0,84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0,84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706"/>
        </w:trPr>
        <w:tc>
          <w:tcPr>
            <w:tcW w:w="58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природный газ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куб. метров на 1 человека населения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0,74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0,63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3523"/>
        </w:trPr>
        <w:tc>
          <w:tcPr>
            <w:tcW w:w="587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41.</w:t>
            </w: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Результаты независимой оценки качества условий оказания услуг муниципальными организациями в сферах культуры, охраны здоровья, образования, социального обслуживания и иными организациями, расположенными на территориях соответствующих муниципальных образований и оказывающими услуги в указанных сферах за счет бюджетных ассигнований бюджетов муниципальных образований (по данным официального сайта для размещения информации о государственных и муниципальных учреждениях в информационно-телекоммуникационной сети "Интернет") (при наличии):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FF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3A1ED2" w:rsidRPr="003A1ED2" w:rsidTr="003A7606">
        <w:trPr>
          <w:gridAfter w:val="1"/>
          <w:wAfter w:w="8" w:type="dxa"/>
          <w:trHeight w:val="527"/>
        </w:trPr>
        <w:tc>
          <w:tcPr>
            <w:tcW w:w="58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в сфере культуры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баллы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64,04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87,05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100,00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средний балл УК по итогам НОК</w:t>
            </w:r>
          </w:p>
        </w:tc>
      </w:tr>
      <w:tr w:rsidR="003A1ED2" w:rsidRPr="003A1ED2" w:rsidTr="003A7606">
        <w:trPr>
          <w:gridAfter w:val="1"/>
          <w:wAfter w:w="8" w:type="dxa"/>
          <w:trHeight w:val="287"/>
        </w:trPr>
        <w:tc>
          <w:tcPr>
            <w:tcW w:w="58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A1ED2" w:rsidRPr="003A1ED2" w:rsidRDefault="003A1ED2" w:rsidP="004C75C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в сфере образования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баллы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87,05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79635C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79635C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87,05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87,05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87,20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87,20</w:t>
            </w:r>
          </w:p>
        </w:tc>
        <w:tc>
          <w:tcPr>
            <w:tcW w:w="22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ED2" w:rsidRPr="003A1ED2" w:rsidRDefault="003A1ED2" w:rsidP="004C75C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3A1ED2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</w:tbl>
    <w:p w:rsidR="003A1ED2" w:rsidRDefault="003A1ED2" w:rsidP="004C75C0">
      <w:pPr>
        <w:spacing w:after="0" w:line="240" w:lineRule="auto"/>
      </w:pPr>
    </w:p>
    <w:sectPr w:rsidR="003A1ED2" w:rsidSect="003A1ED2">
      <w:pgSz w:w="16838" w:h="11906" w:orient="landscape"/>
      <w:pgMar w:top="1418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revisionView w:inkAnnotations="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A1ED2"/>
    <w:rsid w:val="000D3578"/>
    <w:rsid w:val="00150D96"/>
    <w:rsid w:val="001D3509"/>
    <w:rsid w:val="0033659C"/>
    <w:rsid w:val="003A1ED2"/>
    <w:rsid w:val="003A7606"/>
    <w:rsid w:val="004C75C0"/>
    <w:rsid w:val="0050580C"/>
    <w:rsid w:val="00781782"/>
    <w:rsid w:val="0079635C"/>
    <w:rsid w:val="00890542"/>
    <w:rsid w:val="00931B2C"/>
    <w:rsid w:val="00B53181"/>
    <w:rsid w:val="00D546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160" w:line="259" w:lineRule="auto"/>
    </w:pPr>
    <w:rPr>
      <w:sz w:val="24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905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90542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160" w:line="259" w:lineRule="auto"/>
    </w:pPr>
    <w:rPr>
      <w:sz w:val="24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905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90542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4621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1925</Words>
  <Characters>10977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Амур Анатолий Владимирович</dc:creator>
  <cp:lastModifiedBy>Федурина Елена Александровна</cp:lastModifiedBy>
  <cp:revision>2</cp:revision>
  <dcterms:created xsi:type="dcterms:W3CDTF">2022-04-29T07:22:00Z</dcterms:created>
  <dcterms:modified xsi:type="dcterms:W3CDTF">2022-04-29T07:22:00Z</dcterms:modified>
</cp:coreProperties>
</file>